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引进知名双创孵化载体运营机构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补助实施方案</w:t>
      </w:r>
    </w:p>
    <w:p>
      <w:pPr>
        <w:pStyle w:val="6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进一步加强双创孵化载体建设，以开放、包容、创新的理念促进我省双创孵化载体高质量发展，依据《加强双创孵化载体建设8条措施（试行）》（云科发〔2021〕71号，以下简称《8条措施》）要求，结合工作实际制定本奖补实施方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（一）省科技厅负责组织开展奖补资金的申报、审核、汇总，编制资金奖补计划。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（二）各州（市）科技管理部门负责奖补资金的管理工作，申请受理、审核，并向省科技厅推荐报送。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二、奖补依据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8条措施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》第一条：“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新引进的国内外知名双创孵化载体运营机构（该引进机构应在国内成功运营且建有分支机构3家以上，含1家国家级科技企业孵化器，或有成功培育独角兽企业、上市企业的案例），一次性给予最高不超过300万元经费补助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（一）从云南省外进入云南省开展双创孵化载体建设及运营，并在云南省内运营地注册成立公司，实际运营时间满6个月以上。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0070C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（二）引进机构在云南省运营的双创孵化载体，拥有专业孵化人员占机构总人数60%以上，具有可自主支配的孵化场地不低于5000平方米，在孵企业或团队不少于20家</w:t>
      </w:r>
      <w:r>
        <w:rPr>
          <w:rFonts w:hint="eastAsia" w:ascii="Times New Roman" w:hAnsi="Times New Roman" w:eastAsia="方正仿宋_GBK" w:cs="Times New Roman"/>
          <w:color w:val="0070C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（三）引进机构在云南省建设运营的双创孵化载体，应基本达到云南省省级众创空间或省级科技企业孵化器认定要求。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（四）引进机构具备提供培训、人才、融资等创业资源导入和市场对接等能力。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（五）同一个云南省外知名双创孵化载体，在云南省内仅可申请获得一次“引进知名双创孵化载体运营机构补助”。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（六）未发生过重大安全、重大质量事故或严重环境违法行为，未发生严重的科研失信行为。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（一）《云南省引进知名孵化机构运营奖补申报书》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（见附件）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（二）引进机构在云南省建设投资证明文件。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（三）引进机构运营案例材料，例如分支机构及运营面积、国家级科技企业孵化器认定证明文件、培育企业案例证明文件。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（四）引进机构提供给培训、人才、融资等创业资源的导入证明材料。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（五）引进机构应提供专业孵化人员与孵化载体的关系证明、与落地运营主体的场地租赁协议等证明材料。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云南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省科技厅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于每年第一季度发布申报通知，符合条件的引进机构，填写《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云南省引进知名孵化机构运营奖补申报书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》（见附件），与相关证明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一并提交所在州（市）科技管理部门。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（二）州（市）科技管理部门对奖补资金申报材料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审核后，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向省科技厅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统计报送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符合奖补条件的双创孵化载体。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（三）省科技厅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联合各双创孵化载体省级认定（备案）部门对各州（市）报送情况进行复核，并进行实地查验。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（四）经复核符合奖补条件的双创孵化载体，在省科技厅门户网站向社会公示。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（五）公示期满后，报省科技厅厅务会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/厅领导审定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审定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通过后，下达奖补通知，并按规定拨付奖补资金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，奖补资金由省科技厅直接拨付至获得奖补单位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鼓励各州（市）制定配套政策，共同推动双创孵化载体发展，引导其进一步完善孵化服务功能，培育更多高新技术企业。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（二）奖补资金管理实行责任追究机制。对弄虚作假、骗取奖补资金等行为，一经查实，追回财政资金，列入科研失信名单。构成违法犯罪的，移交有关机关处理。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（三）本方案由省科技厅负责解释。</w:t>
      </w:r>
    </w:p>
    <w:p>
      <w:pPr>
        <w:pStyle w:val="6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云南省引进知名孵化机构运营奖补申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272" w:firstLineChars="3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-22"/>
          <w:sz w:val="24"/>
          <w:highlight w:val="none"/>
        </w:rPr>
        <w:t>填</w:t>
      </w:r>
      <w:r>
        <w:rPr>
          <w:rFonts w:hint="default" w:ascii="Times New Roman" w:hAnsi="Times New Roman" w:eastAsia="方正仿宋_GBK" w:cs="Times New Roman"/>
          <w:color w:val="auto"/>
          <w:spacing w:val="-22"/>
          <w:sz w:val="24"/>
          <w:highlight w:val="none"/>
          <w:lang w:eastAsia="zh-CN"/>
        </w:rPr>
        <w:t>报</w:t>
      </w:r>
      <w:r>
        <w:rPr>
          <w:rFonts w:hint="default" w:ascii="Times New Roman" w:hAnsi="Times New Roman" w:eastAsia="方正仿宋_GBK" w:cs="Times New Roman"/>
          <w:color w:val="auto"/>
          <w:spacing w:val="-22"/>
          <w:sz w:val="24"/>
          <w:highlight w:val="none"/>
        </w:rPr>
        <w:t>日期：</w:t>
      </w:r>
      <w:r>
        <w:rPr>
          <w:rFonts w:hint="default" w:ascii="Times New Roman" w:hAnsi="Times New Roman" w:eastAsia="方正仿宋_GBK" w:cs="Times New Roman"/>
          <w:color w:val="auto"/>
          <w:spacing w:val="-22"/>
          <w:sz w:val="24"/>
          <w:highlight w:val="none"/>
          <w:lang w:val="en-US" w:eastAsia="zh-CN"/>
        </w:rPr>
        <w:t xml:space="preserve">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18"/>
        <w:gridCol w:w="599"/>
        <w:gridCol w:w="217"/>
        <w:gridCol w:w="264"/>
        <w:gridCol w:w="323"/>
        <w:gridCol w:w="505"/>
        <w:gridCol w:w="72"/>
        <w:gridCol w:w="71"/>
        <w:gridCol w:w="469"/>
        <w:gridCol w:w="1055"/>
        <w:gridCol w:w="85"/>
        <w:gridCol w:w="37"/>
        <w:gridCol w:w="244"/>
        <w:gridCol w:w="392"/>
        <w:gridCol w:w="345"/>
        <w:gridCol w:w="361"/>
        <w:gridCol w:w="349"/>
        <w:gridCol w:w="433"/>
        <w:gridCol w:w="144"/>
        <w:gridCol w:w="311"/>
        <w:gridCol w:w="11"/>
        <w:gridCol w:w="325"/>
        <w:gridCol w:w="143"/>
        <w:gridCol w:w="1608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引进机构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06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引进机构名称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引进机构运营主体名称</w:t>
            </w:r>
          </w:p>
        </w:tc>
        <w:tc>
          <w:tcPr>
            <w:tcW w:w="22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1"/>
                <w:highlight w:val="none"/>
              </w:rPr>
              <w:t>统一社会信用代码</w:t>
            </w:r>
          </w:p>
        </w:tc>
        <w:tc>
          <w:tcPr>
            <w:tcW w:w="25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法人代表</w:t>
            </w:r>
          </w:p>
        </w:tc>
        <w:tc>
          <w:tcPr>
            <w:tcW w:w="22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注册资金（万元）</w:t>
            </w:r>
          </w:p>
        </w:tc>
        <w:tc>
          <w:tcPr>
            <w:tcW w:w="25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注册地址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负 责 人</w:t>
            </w:r>
          </w:p>
        </w:tc>
        <w:tc>
          <w:tcPr>
            <w:tcW w:w="22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职    务</w:t>
            </w:r>
          </w:p>
        </w:tc>
        <w:tc>
          <w:tcPr>
            <w:tcW w:w="25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联 系 人</w:t>
            </w:r>
          </w:p>
        </w:tc>
        <w:tc>
          <w:tcPr>
            <w:tcW w:w="22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固定电话</w:t>
            </w:r>
          </w:p>
        </w:tc>
        <w:tc>
          <w:tcPr>
            <w:tcW w:w="25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邮    编</w:t>
            </w:r>
          </w:p>
        </w:tc>
        <w:tc>
          <w:tcPr>
            <w:tcW w:w="22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highlight w:val="none"/>
              </w:rPr>
              <w:t>E-mail</w:t>
            </w:r>
          </w:p>
        </w:tc>
        <w:tc>
          <w:tcPr>
            <w:tcW w:w="25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、引进机构资质情况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（相关证实材料另附）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分支机构名称</w:t>
            </w:r>
          </w:p>
        </w:tc>
        <w:tc>
          <w:tcPr>
            <w:tcW w:w="14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运营双创孵化载体名称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成立时间</w:t>
            </w: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面积</w:t>
            </w:r>
          </w:p>
        </w:tc>
        <w:tc>
          <w:tcPr>
            <w:tcW w:w="17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获得国家级</w:t>
            </w:r>
            <w:r>
              <w:rPr>
                <w:rFonts w:hint="eastAsia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认定及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资质荣誉情况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、引进机构培育独角兽企业、上市企业或其他典型孵化案例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（相关证实材料另附）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典型孵化企业名称</w:t>
            </w: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入驻时间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获得类型</w:t>
            </w: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获得时间</w:t>
            </w: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联系人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省内双创孵化载体建设的必要性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（限500字以内）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、引进机构资源导入情况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（限500字以内，相关证实材料另附）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落地云南省后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建设运营双创孵化载体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</w:rPr>
              <w:t>1.孵化场地情况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双创孵化载体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名称</w:t>
            </w:r>
          </w:p>
        </w:tc>
        <w:tc>
          <w:tcPr>
            <w:tcW w:w="7283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运营机构名称</w:t>
            </w:r>
          </w:p>
        </w:tc>
        <w:tc>
          <w:tcPr>
            <w:tcW w:w="28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1"/>
                <w:highlight w:val="none"/>
              </w:rPr>
              <w:t>统一社会信用代码</w:t>
            </w:r>
          </w:p>
        </w:tc>
        <w:tc>
          <w:tcPr>
            <w:tcW w:w="33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注册时间</w:t>
            </w:r>
          </w:p>
        </w:tc>
        <w:tc>
          <w:tcPr>
            <w:tcW w:w="28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类型</w:t>
            </w:r>
          </w:p>
        </w:tc>
        <w:tc>
          <w:tcPr>
            <w:tcW w:w="33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专业□   综合□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法人代表</w:t>
            </w:r>
          </w:p>
        </w:tc>
        <w:tc>
          <w:tcPr>
            <w:tcW w:w="28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注册资金（万元）</w:t>
            </w:r>
          </w:p>
        </w:tc>
        <w:tc>
          <w:tcPr>
            <w:tcW w:w="33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注册地址</w:t>
            </w:r>
          </w:p>
        </w:tc>
        <w:tc>
          <w:tcPr>
            <w:tcW w:w="7283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负 责 人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职    务</w:t>
            </w:r>
          </w:p>
        </w:tc>
        <w:tc>
          <w:tcPr>
            <w:tcW w:w="17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联 系 人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固定电话</w:t>
            </w:r>
          </w:p>
        </w:tc>
        <w:tc>
          <w:tcPr>
            <w:tcW w:w="17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手    机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邮    编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highlight w:val="none"/>
              </w:rPr>
              <w:t>E-mail</w:t>
            </w:r>
          </w:p>
        </w:tc>
        <w:tc>
          <w:tcPr>
            <w:tcW w:w="470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18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7283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可自主支配的孵化场地总面积（</w:t>
            </w:r>
            <w:r>
              <w:rPr>
                <w:rFonts w:hint="default" w:ascii="Times New Roman" w:hAnsi="Times New Roman" w:eastAsia="方正仿宋_GBK" w:cs="Times New Roman"/>
                <w:color w:val="auto"/>
                <w:highlight w:val="none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）</w:t>
            </w:r>
          </w:p>
        </w:tc>
        <w:tc>
          <w:tcPr>
            <w:tcW w:w="20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4422" w:type="dxa"/>
            <w:gridSpan w:val="11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创业团队和企业场地与公共服务场地的面积占总面积比例为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8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其中</w:t>
            </w: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创业团队和企业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场地面积（</w:t>
            </w:r>
            <w:r>
              <w:rPr>
                <w:rFonts w:hint="default" w:ascii="Times New Roman" w:hAnsi="Times New Roman" w:eastAsia="方正仿宋_GBK" w:cs="Times New Roman"/>
                <w:color w:val="auto"/>
                <w:highlight w:val="none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）</w:t>
            </w:r>
          </w:p>
        </w:tc>
        <w:tc>
          <w:tcPr>
            <w:tcW w:w="20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4422" w:type="dxa"/>
            <w:gridSpan w:val="11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8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公共服务场地面积（</w:t>
            </w:r>
            <w:r>
              <w:rPr>
                <w:rFonts w:hint="default" w:ascii="Times New Roman" w:hAnsi="Times New Roman" w:eastAsia="方正仿宋_GBK" w:cs="Times New Roman"/>
                <w:color w:val="auto"/>
                <w:highlight w:val="none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）</w:t>
            </w:r>
          </w:p>
        </w:tc>
        <w:tc>
          <w:tcPr>
            <w:tcW w:w="20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4422" w:type="dxa"/>
            <w:gridSpan w:val="11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8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自用面积（</w:t>
            </w:r>
            <w:r>
              <w:rPr>
                <w:rFonts w:hint="default" w:ascii="Times New Roman" w:hAnsi="Times New Roman" w:eastAsia="方正仿宋_GBK" w:cs="Times New Roman"/>
                <w:color w:val="auto"/>
                <w:highlight w:val="none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）</w:t>
            </w:r>
          </w:p>
        </w:tc>
        <w:tc>
          <w:tcPr>
            <w:tcW w:w="20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4422" w:type="dxa"/>
            <w:gridSpan w:val="11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8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其他面积（</w:t>
            </w:r>
            <w:r>
              <w:rPr>
                <w:rFonts w:hint="default" w:ascii="Times New Roman" w:hAnsi="Times New Roman" w:eastAsia="方正仿宋_GBK" w:cs="Times New Roman"/>
                <w:color w:val="auto"/>
                <w:highlight w:val="none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）</w:t>
            </w:r>
          </w:p>
        </w:tc>
        <w:tc>
          <w:tcPr>
            <w:tcW w:w="20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4422" w:type="dxa"/>
            <w:gridSpan w:val="11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提供工位数（个）</w:t>
            </w:r>
          </w:p>
        </w:tc>
        <w:tc>
          <w:tcPr>
            <w:tcW w:w="20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422" w:type="dxa"/>
            <w:gridSpan w:val="11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创业团队和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创业团队和企业数量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20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创业团队和企业人员数量</w:t>
            </w:r>
          </w:p>
        </w:tc>
        <w:tc>
          <w:tcPr>
            <w:tcW w:w="23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其中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创业团队数量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中</w:t>
            </w:r>
          </w:p>
        </w:tc>
        <w:tc>
          <w:tcPr>
            <w:tcW w:w="16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创业团队人员数量</w:t>
            </w:r>
          </w:p>
        </w:tc>
        <w:tc>
          <w:tcPr>
            <w:tcW w:w="23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在孵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企业数量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3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企业人员数量</w:t>
            </w:r>
          </w:p>
        </w:tc>
        <w:tc>
          <w:tcPr>
            <w:tcW w:w="23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入驻创业团队或企业产业方向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  <w:t>□电子信息  □新能源  □高端装备制造  □公共安全 □新能源汽车  □节能环保  □新材料  □生物医药 □高原特色现代农业 □化工产业 □冶金产业□金融业 □旅游业 □文化创意产业 □科技及信息服务业□健康服务业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  <w:t>□其他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u w:val="single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  <w:t>（自行填写）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入驻创业团队或企业企业知识产权情况（二选一填写）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已申请专利的在孵企业数量：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家，占在孵企业总数比例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拥有有效知识产权的在孵企业数量：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家，占在孵企业总数比例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在同一产业领域从事研发、生产的企业情况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（专业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型双创孵化载体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填写）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在同一产业领域从事研发、生产的在孵企业数量：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家，占在孵企业总数的比例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入驻创业团队或企业获得投融资数量</w:t>
            </w:r>
          </w:p>
        </w:tc>
        <w:tc>
          <w:tcPr>
            <w:tcW w:w="6960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入驻创业团队获得投融资数量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家，</w:t>
            </w:r>
            <w:r>
              <w:rPr>
                <w:rFonts w:hint="eastAsia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在孵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企业获得投融资数量：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</w:rPr>
              <w:t>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双创孵化载体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管理机构人员总数</w:t>
            </w:r>
          </w:p>
        </w:tc>
        <w:tc>
          <w:tcPr>
            <w:tcW w:w="27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专业孵化服务人员数量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引进机构派出人员数量</w:t>
            </w:r>
          </w:p>
        </w:tc>
        <w:tc>
          <w:tcPr>
            <w:tcW w:w="27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  <w:tc>
          <w:tcPr>
            <w:tcW w:w="16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创业导师数量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聚集专业服务机构数量</w:t>
            </w:r>
          </w:p>
        </w:tc>
        <w:tc>
          <w:tcPr>
            <w:tcW w:w="64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开展创新创业服务数量</w:t>
            </w:r>
          </w:p>
        </w:tc>
        <w:tc>
          <w:tcPr>
            <w:tcW w:w="64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开展创新创业活动数量</w:t>
            </w:r>
          </w:p>
        </w:tc>
        <w:tc>
          <w:tcPr>
            <w:tcW w:w="64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2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主流媒体报道次数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>（省部级及以上）</w:t>
            </w:r>
          </w:p>
        </w:tc>
        <w:tc>
          <w:tcPr>
            <w:tcW w:w="64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5.总体概述：包括双创孵化载体资源优势，收入来源、盈利模式等（限500字以内）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6.双创孵化载体的特色服务情况介绍（限500字以内）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七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云南省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建设运营的双创孵化载体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对照《云南省科技企业孵化器认定管理办法》、《云南省众创空间认定管理办法》，填写服务绩效。（相关证实材料另附）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双创孵化载体下一步的发展思路、目标及措施（限500字以内）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  <w:t>九、奖补资金申请额及使用计划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8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双创孵化载体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申请奖补资金数额及使用计划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  <w:t>对照《云南省科技企业孵化器认定管理办法》、《云南省众创空间认定管理办法》填写。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6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highlight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482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  <w:lang w:eastAsia="zh-CN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highlight w:val="none"/>
              </w:rPr>
              <w:t>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42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申报云南省引进知名孵化机构运营奖补所提供的信息和资料均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属实，若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存在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填报失实和违反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规定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，愿承担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由此带来的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单位负责人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（签章）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 xml:space="preserve">                               单位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640" w:hRule="atLeast"/>
          <w:jc w:val="center"/>
        </w:trPr>
        <w:tc>
          <w:tcPr>
            <w:tcW w:w="9180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州（市）科技行政管理部门推荐意见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rPr>
                <w:rFonts w:hint="default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 xml:space="preserve">负责人签字（签章）    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 xml:space="preserve">                        推荐单位（盖章）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eastAsia="zh-CN"/>
              </w:rPr>
              <w:t>日</w:t>
            </w:r>
          </w:p>
        </w:tc>
      </w:tr>
    </w:tbl>
    <w:p/>
    <w:p>
      <w:pPr>
        <w:pStyle w:val="6"/>
        <w:ind w:left="0" w:leftChars="0" w:firstLine="0" w:firstLineChars="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jNkMGU0YzVhYmM2NjI1YTdiZDAxZTdjMmNiNmQifQ=="/>
  </w:docVars>
  <w:rsids>
    <w:rsidRoot w:val="60826FE1"/>
    <w:rsid w:val="038D16A3"/>
    <w:rsid w:val="03AE6ED2"/>
    <w:rsid w:val="04623E3F"/>
    <w:rsid w:val="04D0692D"/>
    <w:rsid w:val="0CB33F28"/>
    <w:rsid w:val="12826ECE"/>
    <w:rsid w:val="15F64E85"/>
    <w:rsid w:val="180C0990"/>
    <w:rsid w:val="19C57049"/>
    <w:rsid w:val="1F6F13B7"/>
    <w:rsid w:val="208A2D9A"/>
    <w:rsid w:val="20B030D5"/>
    <w:rsid w:val="21134659"/>
    <w:rsid w:val="24623665"/>
    <w:rsid w:val="273C53A5"/>
    <w:rsid w:val="28AD3ACA"/>
    <w:rsid w:val="2B466EE1"/>
    <w:rsid w:val="335F3523"/>
    <w:rsid w:val="35411821"/>
    <w:rsid w:val="35F26FC0"/>
    <w:rsid w:val="3606085A"/>
    <w:rsid w:val="36C44C86"/>
    <w:rsid w:val="3FC3164F"/>
    <w:rsid w:val="4081166C"/>
    <w:rsid w:val="41760AA5"/>
    <w:rsid w:val="430D5E85"/>
    <w:rsid w:val="49D547D7"/>
    <w:rsid w:val="4A601E8F"/>
    <w:rsid w:val="4CA86B62"/>
    <w:rsid w:val="4CD05815"/>
    <w:rsid w:val="4D4B7289"/>
    <w:rsid w:val="4EF80484"/>
    <w:rsid w:val="508C6AFB"/>
    <w:rsid w:val="537E6888"/>
    <w:rsid w:val="544733FD"/>
    <w:rsid w:val="546B6DC2"/>
    <w:rsid w:val="550F5041"/>
    <w:rsid w:val="551A7E18"/>
    <w:rsid w:val="59F34F31"/>
    <w:rsid w:val="5C0C010D"/>
    <w:rsid w:val="5C4F6D5E"/>
    <w:rsid w:val="5D3F223B"/>
    <w:rsid w:val="60826FE1"/>
    <w:rsid w:val="642F3009"/>
    <w:rsid w:val="66C11E97"/>
    <w:rsid w:val="66EC168C"/>
    <w:rsid w:val="688A4CB2"/>
    <w:rsid w:val="68F505D1"/>
    <w:rsid w:val="6A077E80"/>
    <w:rsid w:val="6C0B610A"/>
    <w:rsid w:val="6C691082"/>
    <w:rsid w:val="6CAE6A95"/>
    <w:rsid w:val="6CF80EB0"/>
    <w:rsid w:val="710F044A"/>
    <w:rsid w:val="725A3947"/>
    <w:rsid w:val="7BF06E7A"/>
    <w:rsid w:val="7C047779"/>
    <w:rsid w:val="7C63164A"/>
    <w:rsid w:val="7D20753B"/>
    <w:rsid w:val="7D881D96"/>
    <w:rsid w:val="7FA050F8"/>
    <w:rsid w:val="898BFC4E"/>
    <w:rsid w:val="9DCEFFE0"/>
    <w:rsid w:val="CC1FDEA5"/>
    <w:rsid w:val="EEE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 w:firstLine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9">
    <w:name w:val="Emphasis"/>
    <w:basedOn w:val="8"/>
    <w:qFormat/>
    <w:uiPriority w:val="0"/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TML Cite"/>
    <w:basedOn w:val="8"/>
    <w:qFormat/>
    <w:uiPriority w:val="0"/>
  </w:style>
  <w:style w:type="character" w:customStyle="1" w:styleId="13">
    <w:name w:val="hfnr-content"/>
    <w:basedOn w:val="8"/>
    <w:qFormat/>
    <w:uiPriority w:val="0"/>
    <w:rPr>
      <w:sz w:val="16"/>
      <w:szCs w:val="16"/>
    </w:rPr>
  </w:style>
  <w:style w:type="character" w:customStyle="1" w:styleId="14">
    <w:name w:val="hfnr-content1"/>
    <w:basedOn w:val="8"/>
    <w:qFormat/>
    <w:uiPriority w:val="0"/>
    <w:rPr>
      <w:sz w:val="18"/>
      <w:szCs w:val="18"/>
    </w:rPr>
  </w:style>
  <w:style w:type="character" w:customStyle="1" w:styleId="15">
    <w:name w:val="hfnr-detail"/>
    <w:basedOn w:val="8"/>
    <w:qFormat/>
    <w:uiPriority w:val="0"/>
    <w:rPr>
      <w:sz w:val="16"/>
      <w:szCs w:val="16"/>
    </w:rPr>
  </w:style>
  <w:style w:type="character" w:customStyle="1" w:styleId="16">
    <w:name w:val="zjz"/>
    <w:basedOn w:val="8"/>
    <w:qFormat/>
    <w:uiPriority w:val="0"/>
    <w:rPr>
      <w:color w:val="FFFFFF"/>
      <w:shd w:val="clear" w:fill="1184E7"/>
    </w:rPr>
  </w:style>
  <w:style w:type="character" w:customStyle="1" w:styleId="17">
    <w:name w:val="yjs"/>
    <w:basedOn w:val="8"/>
    <w:qFormat/>
    <w:uiPriority w:val="0"/>
    <w:rPr>
      <w:color w:val="333333"/>
      <w:shd w:val="clear" w:fill="E6E6E6"/>
    </w:rPr>
  </w:style>
  <w:style w:type="character" w:customStyle="1" w:styleId="18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2575</Words>
  <Characters>2613</Characters>
  <Lines>0</Lines>
  <Paragraphs>0</Paragraphs>
  <TotalTime>0</TotalTime>
  <ScaleCrop>false</ScaleCrop>
  <LinksUpToDate>false</LinksUpToDate>
  <CharactersWithSpaces>2879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2022-10-19T16:37:00Z</dcterms:created>
  <dc:creator>成裙子</dc:creator>
  <cp:lastModifiedBy>徐婉婷</cp:lastModifiedBy>
  <dcterms:modified xsi:type="dcterms:W3CDTF">2023-02-03T11:05:16Z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D5272F870E584333A90934F2FDD32117</vt:lpwstr>
  </property>
</Properties>
</file>