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both"/>
        <w:rPr>
          <w:rFonts w:hint="eastAsia" w:ascii="方正小标宋_GBK" w:eastAsia="方正小标宋_GBK"/>
          <w:sz w:val="44"/>
          <w:lang w:val="en-US" w:eastAsia="zh-CN"/>
        </w:rPr>
      </w:pPr>
      <w:r>
        <w:rPr>
          <w:rFonts w:hint="eastAsia" w:ascii="方正小标宋_GBK" w:eastAsia="方正小标宋_GBK"/>
          <w:sz w:val="44"/>
          <w:lang w:val="en-US" w:eastAsia="zh-CN"/>
        </w:rPr>
        <w:t>云南省人民政府关于修改《云南省重大行政</w:t>
      </w:r>
    </w:p>
    <w:p>
      <w:pPr>
        <w:adjustRightInd w:val="0"/>
        <w:snapToGrid w:val="0"/>
        <w:spacing w:line="700" w:lineRule="exact"/>
        <w:jc w:val="center"/>
        <w:rPr>
          <w:rFonts w:hint="eastAsia" w:ascii="方正小标宋_GBK" w:eastAsia="方正小标宋_GBK"/>
          <w:sz w:val="44"/>
          <w:lang w:val="en-US" w:eastAsia="zh-CN"/>
        </w:rPr>
      </w:pPr>
      <w:r>
        <w:rPr>
          <w:rFonts w:hint="eastAsia" w:ascii="方正小标宋_GBK" w:eastAsia="方正小标宋_GBK"/>
          <w:sz w:val="44"/>
          <w:lang w:val="en-US" w:eastAsia="zh-CN"/>
        </w:rPr>
        <w:t>决策程序规定》的决定（草案）</w:t>
      </w:r>
    </w:p>
    <w:p>
      <w:pPr>
        <w:adjustRightInd w:val="0"/>
        <w:snapToGrid w:val="0"/>
        <w:spacing w:line="700" w:lineRule="exact"/>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根据国务院《重大行政决策程序暂行条例》的有关规定，云南省人民政府决定对《云南省重大行政决策程序规定》作如下修改：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一、第一条中增加《重大行政决策程序暂行条例》作为制定依据，修改为“</w:t>
      </w:r>
      <w:r>
        <w:t>为了规范重大行政决策行为</w:t>
      </w:r>
      <w:r>
        <w:rPr>
          <w:rFonts w:hint="eastAsia"/>
        </w:rPr>
        <w:t>，</w:t>
      </w:r>
      <w:r>
        <w:t>健全依法决策机制</w:t>
      </w:r>
      <w:r>
        <w:rPr>
          <w:rFonts w:hint="eastAsia"/>
        </w:rPr>
        <w:t>，</w:t>
      </w:r>
      <w:r>
        <w:t>推进决策科学化</w:t>
      </w:r>
      <w:r>
        <w:rPr>
          <w:rFonts w:hint="eastAsia"/>
        </w:rPr>
        <w:t>、</w:t>
      </w:r>
      <w:r>
        <w:t>民主化和法治化</w:t>
      </w:r>
      <w:r>
        <w:rPr>
          <w:rFonts w:hint="eastAsia"/>
        </w:rPr>
        <w:t>，</w:t>
      </w:r>
      <w:r>
        <w:t>根据《中华人民共和国地方各级人民代表大会和地方各级人民政府组织法》</w:t>
      </w:r>
      <w:r>
        <w:rPr>
          <w:rFonts w:hint="eastAsia"/>
          <w:b/>
          <w:bCs/>
          <w:lang w:eastAsia="zh-CN"/>
        </w:rPr>
        <w:t>、国务院</w:t>
      </w:r>
      <w:r>
        <w:rPr>
          <w:rFonts w:hint="eastAsia"/>
          <w:b/>
          <w:bCs/>
          <w:lang w:val="en-US" w:eastAsia="zh-CN"/>
        </w:rPr>
        <w:t>《重大行政决策程序暂行条例》</w:t>
      </w:r>
      <w:r>
        <w:t>等法律法规</w:t>
      </w:r>
      <w:r>
        <w:rPr>
          <w:rFonts w:hint="eastAsia"/>
        </w:rPr>
        <w:t>，</w:t>
      </w:r>
      <w:r>
        <w:t>结合本省实际，制定本规定。</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二、将第二条修改为“</w:t>
      </w:r>
      <w:r>
        <w:t>本省行政区域内县级以上人民政府作出</w:t>
      </w:r>
      <w:r>
        <w:rPr>
          <w:rFonts w:hint="eastAsia"/>
          <w:b/>
          <w:bCs/>
          <w:lang w:eastAsia="zh-CN"/>
        </w:rPr>
        <w:t>和调整</w:t>
      </w:r>
      <w:r>
        <w:t>重大行政决策的程序，适用本规定。</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b/>
          <w:bCs/>
          <w:lang w:val="en-US" w:eastAsia="zh-CN"/>
        </w:rPr>
      </w:pPr>
      <w:r>
        <w:rPr>
          <w:rFonts w:hint="eastAsia"/>
          <w:lang w:val="en-US" w:eastAsia="zh-CN"/>
        </w:rPr>
        <w:t>三、将第五条修改为“县级以上</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人民政府应当结合本地实际，明</w:t>
      </w:r>
      <w:r>
        <w:rPr>
          <w:rFonts w:hint="eastAsia"/>
          <w:lang w:val="en-US" w:eastAsia="zh-CN"/>
        </w:rPr>
        <w:t>确本地区重大行政决策的</w:t>
      </w:r>
      <w:r>
        <w:rPr>
          <w:rFonts w:hint="eastAsia"/>
          <w:b/>
          <w:bCs/>
          <w:lang w:val="en-US" w:eastAsia="zh-CN"/>
        </w:rPr>
        <w:t>目录</w:t>
      </w:r>
      <w:r>
        <w:rPr>
          <w:rFonts w:hint="eastAsia"/>
          <w:lang w:val="en-US" w:eastAsia="zh-CN"/>
        </w:rPr>
        <w:t>、标准，</w:t>
      </w:r>
      <w:r>
        <w:rPr>
          <w:rFonts w:hint="eastAsia"/>
          <w:b/>
          <w:bCs/>
          <w:lang w:val="en-US" w:eastAsia="zh-CN"/>
        </w:rPr>
        <w:t>经同级党委同意后向社会公布，并根据实际情况调整。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县级以上人民政府所属部门、乡镇人民政府（街道办事处）以及法律、法规授权行使行政管理职能的组织，根据本部门实际，明确本部门重大行政决策的</w:t>
      </w:r>
      <w:r>
        <w:rPr>
          <w:rFonts w:hint="eastAsia"/>
          <w:b/>
          <w:bCs/>
          <w:lang w:val="en-US" w:eastAsia="zh-CN"/>
        </w:rPr>
        <w:t>目录</w:t>
      </w:r>
      <w:r>
        <w:rPr>
          <w:rFonts w:hint="eastAsia"/>
          <w:lang w:val="en-US" w:eastAsia="zh-CN"/>
        </w:rPr>
        <w:t>、标准，</w:t>
      </w:r>
      <w:r>
        <w:rPr>
          <w:rFonts w:hint="eastAsia"/>
          <w:b/>
          <w:bCs/>
          <w:lang w:val="en-US" w:eastAsia="zh-CN"/>
        </w:rPr>
        <w:t>经本地本部门党委（党组）同意后向社会公布，并根据实际情况调整。</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四、增加一条，作为第六条</w:t>
      </w:r>
      <w:r>
        <w:rPr>
          <w:rFonts w:hint="eastAsia"/>
          <w:b/>
          <w:bCs/>
          <w:lang w:val="en-US" w:eastAsia="zh-CN"/>
        </w:rPr>
        <w:t>“重大行政决策必须坚持和加强党的全面领导，全面贯彻党的路线方针政策和决策部署，发挥党的领导核心作用，把党的领导贯彻到重大行政决策全过程。</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五、将第六条修改为“重大行政决策作出前，应当</w:t>
      </w:r>
      <w:r>
        <w:rPr>
          <w:rFonts w:hint="eastAsia"/>
          <w:b/>
          <w:bCs/>
          <w:lang w:val="en-US" w:eastAsia="zh-CN"/>
        </w:rPr>
        <w:t>按要求</w:t>
      </w:r>
      <w:r>
        <w:rPr>
          <w:rFonts w:hint="eastAsia"/>
          <w:lang w:val="en-US" w:eastAsia="zh-CN"/>
        </w:rPr>
        <w:t>履行公众参与、专家论证、风险评估、合法性审查、集体讨论决定的程序”作为第七条。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六、将第七条第五项、第二十二条第一款、第二十二条第二款、第二十三条第一款第五项、第二十四条、第二十五条第二款、第二十六条、第二十八条、第三十条中的</w:t>
      </w:r>
      <w:r>
        <w:rPr>
          <w:rFonts w:hint="eastAsia"/>
          <w:b/>
          <w:bCs/>
          <w:lang w:val="en-US" w:eastAsia="zh-CN"/>
        </w:rPr>
        <w:t>“法制”修改为“合法性审查”</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七、将第十二条第一项修改为“通过政府网站、报刊、广播电视等媒体，将决策事项、依据、说明等内容向社会公示，时间一般不得少于</w:t>
      </w:r>
      <w:r>
        <w:rPr>
          <w:rFonts w:hint="eastAsia"/>
          <w:b/>
          <w:bCs/>
          <w:lang w:val="en-US" w:eastAsia="zh-CN"/>
        </w:rPr>
        <w:t>30日；因情况紧急等原因需要缩短期限的，公开征求意见时应当予以说明</w:t>
      </w:r>
      <w:r>
        <w:rPr>
          <w:rFonts w:hint="eastAsia" w:ascii="仿宋_GB2312" w:hAnsi="仿宋_GB2312" w:cs="仿宋_GB2312"/>
          <w:b/>
          <w:bCs/>
          <w:i w:val="0"/>
          <w:caps w:val="0"/>
          <w:color w:val="000000"/>
          <w:spacing w:val="0"/>
          <w:kern w:val="0"/>
          <w:sz w:val="32"/>
          <w:szCs w:val="32"/>
          <w:shd w:val="clear" w:color="auto" w:fill="FFFFFF"/>
          <w:lang w:val="en-US" w:eastAsia="zh-CN" w:bidi="ar"/>
        </w:rPr>
        <w:t>，但不得少于7个工作日。</w:t>
      </w:r>
      <w:bookmarkStart w:id="0" w:name="_GoBack"/>
      <w:bookmarkEnd w:id="0"/>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八、将第十四条修改为“决策事项承办单位应当组织专家对</w:t>
      </w:r>
      <w:r>
        <w:rPr>
          <w:rFonts w:hint="eastAsia"/>
          <w:b/>
          <w:bCs/>
          <w:lang w:val="en-US" w:eastAsia="zh-CN"/>
        </w:rPr>
        <w:t>专业性、技术性较强的</w:t>
      </w:r>
      <w:r>
        <w:rPr>
          <w:rFonts w:hint="eastAsia"/>
          <w:lang w:val="en-US" w:eastAsia="zh-CN"/>
        </w:rPr>
        <w:t>重大行政决策事项进行论证。”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九、将第十八条第二款修改为“</w:t>
      </w:r>
      <w:r>
        <w:rPr>
          <w:rFonts w:hint="eastAsia"/>
          <w:b/>
          <w:bCs/>
          <w:lang w:val="en-US" w:eastAsia="zh-CN"/>
        </w:rPr>
        <w:t>依照本规定应当进行专家论证的</w:t>
      </w:r>
      <w:r>
        <w:rPr>
          <w:rFonts w:hint="eastAsia"/>
          <w:lang w:val="en-US" w:eastAsia="zh-CN"/>
        </w:rPr>
        <w:t>重大行政决策事项，未经专家论证或者论证未获通过的，不得提交政府讨论决定。”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十、将第十九条第一款修改为“</w:t>
      </w:r>
      <w:r>
        <w:rPr>
          <w:rFonts w:hint="eastAsia"/>
          <w:b/>
          <w:bCs/>
          <w:lang w:val="en-US" w:eastAsia="zh-CN"/>
        </w:rPr>
        <w:t>决策事项承办单位应当对可能存在社会稳定、公共安全等风险的重大行政决策事项进行风险评估。但是，按照有关规定已对有关风险进行评价、评估的，不作重复评估。</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十一、第二十二条增加一款，作为第三款</w:t>
      </w:r>
      <w:r>
        <w:rPr>
          <w:rFonts w:hint="eastAsia"/>
          <w:b/>
          <w:bCs/>
          <w:lang w:val="en-US" w:eastAsia="zh-CN"/>
        </w:rPr>
        <w:t>“不得以征求意见、传批、会签等方式代替合法性审查。</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十二、将第二十四条修改为“政府办公厅（室）应当自收到决策事项承办单位提交决策事项草案之日起5个工作日内，将草案及相关材料送交</w:t>
      </w:r>
      <w:r>
        <w:rPr>
          <w:rFonts w:hint="eastAsia"/>
          <w:b/>
          <w:bCs/>
          <w:lang w:val="en-US" w:eastAsia="zh-CN"/>
        </w:rPr>
        <w:t>本级合法性审查</w:t>
      </w:r>
      <w:r>
        <w:rPr>
          <w:rFonts w:hint="eastAsia"/>
          <w:lang w:val="en-US" w:eastAsia="zh-CN"/>
        </w:rPr>
        <w:t>部门进行合法性审查，</w:t>
      </w:r>
      <w:r>
        <w:rPr>
          <w:rFonts w:hint="eastAsia"/>
          <w:b/>
          <w:bCs/>
          <w:lang w:val="en-US" w:eastAsia="zh-CN"/>
        </w:rPr>
        <w:t>保证必要的合法性审查时间，一般不少于7个工作日。</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十三、将第二十五条第一款</w:t>
      </w:r>
      <w:r>
        <w:rPr>
          <w:rFonts w:hint="eastAsia"/>
          <w:b/>
          <w:bCs/>
          <w:lang w:val="en-US" w:eastAsia="zh-CN"/>
        </w:rPr>
        <w:t>第一项、第二项删除，</w:t>
      </w:r>
      <w:r>
        <w:rPr>
          <w:rFonts w:hint="eastAsia"/>
          <w:b w:val="0"/>
          <w:bCs w:val="0"/>
          <w:lang w:val="en-US" w:eastAsia="zh-CN"/>
        </w:rPr>
        <w:t>修改为</w:t>
      </w:r>
      <w:r>
        <w:rPr>
          <w:rFonts w:hint="eastAsia"/>
          <w:b/>
          <w:bCs/>
          <w:lang w:val="en-US" w:eastAsia="zh-CN"/>
        </w:rPr>
        <w:t>“合法性审查的内容包括：（一）决策内容的合法性；（二）决策权限的合法性；（三）决策程序的合法性。”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第二款修改为“</w:t>
      </w:r>
      <w:r>
        <w:rPr>
          <w:rFonts w:hint="eastAsia"/>
          <w:b/>
          <w:bCs/>
          <w:lang w:val="en-US" w:eastAsia="zh-CN"/>
        </w:rPr>
        <w:t>合法性审查</w:t>
      </w:r>
      <w:r>
        <w:rPr>
          <w:rFonts w:hint="eastAsia"/>
          <w:lang w:val="en-US" w:eastAsia="zh-CN"/>
        </w:rPr>
        <w:t>部门可以视审查情况，要求决策事项承办单位补充提供相关材料以及补充完善本规定要求的相关程序。对于法律关系较为复杂、疑难的重大行政决策事项，应当组织政府法律顾问</w:t>
      </w:r>
      <w:r>
        <w:rPr>
          <w:rFonts w:hint="eastAsia"/>
          <w:b/>
          <w:bCs/>
          <w:lang w:val="en-US" w:eastAsia="zh-CN"/>
        </w:rPr>
        <w:t>、公职律师</w:t>
      </w:r>
      <w:r>
        <w:rPr>
          <w:rFonts w:hint="eastAsia"/>
          <w:lang w:val="en-US" w:eastAsia="zh-CN"/>
        </w:rPr>
        <w:t>及相关领域专家进行合法性论证或者提出咨询意见；确有必要的，可以组织实地考察调研。”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十四、第三十一条增加一款，作为第一款“</w:t>
      </w:r>
      <w:r>
        <w:rPr>
          <w:rFonts w:hint="eastAsia"/>
          <w:b/>
          <w:bCs/>
          <w:lang w:val="en-US" w:eastAsia="zh-CN"/>
        </w:rPr>
        <w:t>重大行政决策出台前应当按照规定向同级党委（党组）请示报告。</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十五、第四十一条增加一款，作为第二款“</w:t>
      </w:r>
      <w:r>
        <w:rPr>
          <w:rFonts w:hint="eastAsia"/>
          <w:b/>
          <w:bCs/>
          <w:lang w:val="en-US" w:eastAsia="zh-CN"/>
        </w:rPr>
        <w:t>决策机关集体讨论决策草案时，有关人员对严重失误的决策表示不同意见的，应当记录在案，按照规定减免责任。</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此外，对条文顺序作相应调整。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lang w:val="en-US" w:eastAsia="zh-CN"/>
        </w:rPr>
      </w:pPr>
      <w:r>
        <w:rPr>
          <w:rFonts w:hint="eastAsia"/>
          <w:lang w:val="en-US" w:eastAsia="zh-CN"/>
        </w:rPr>
        <w:t>本决定自2019年9月1日起施行。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r>
        <w:rPr>
          <w:rFonts w:hint="eastAsia"/>
          <w:lang w:val="en-US" w:eastAsia="zh-CN"/>
        </w:rPr>
        <w:t>《云南省重大行政决策程序规定》根据本决定作相应修改，重新公布。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lang w:val="en-US" w:eastAsia="zh-CN"/>
        </w:rPr>
      </w:pPr>
    </w:p>
    <w:sectPr>
      <w:headerReference r:id="rId3" w:type="default"/>
      <w:footerReference r:id="rId4" w:type="default"/>
      <w:pgSz w:w="11906" w:h="16838"/>
      <w:pgMar w:top="1984" w:right="1361" w:bottom="1871" w:left="1531"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abriola">
    <w:panose1 w:val="04040605051002020D02"/>
    <w:charset w:val="00"/>
    <w:family w:val="auto"/>
    <w:pitch w:val="default"/>
    <w:sig w:usb0="E00002EF" w:usb1="5000204B" w:usb2="00000000" w:usb3="00000000" w:csb0="2000009F" w:csb1="00000000"/>
  </w:font>
  <w:font w:name="French Script MT">
    <w:panose1 w:val="03020402040607040605"/>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01000001" w:usb1="00000000"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Sans Typewriter">
    <w:panose1 w:val="020B0509030504030204"/>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报宋简体">
    <w:altName w:val="宋体"/>
    <w:panose1 w:val="03000509000000000000"/>
    <w:charset w:val="86"/>
    <w:family w:val="auto"/>
    <w:pitch w:val="default"/>
    <w:sig w:usb0="00000000" w:usb1="0000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书宋_GBK">
    <w:altName w:val="Arial Unicode MS"/>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方正超大字符集">
    <w:altName w:val="宋体"/>
    <w:panose1 w:val="03000509000000000000"/>
    <w:charset w:val="86"/>
    <w:family w:val="auto"/>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Tahoma">
    <w:panose1 w:val="020B0604030504040204"/>
    <w:charset w:val="01"/>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739C9"/>
    <w:rsid w:val="01F577D5"/>
    <w:rsid w:val="03FD2433"/>
    <w:rsid w:val="07A55CA2"/>
    <w:rsid w:val="0A0D2F2B"/>
    <w:rsid w:val="0DC23358"/>
    <w:rsid w:val="125C261A"/>
    <w:rsid w:val="188E3C16"/>
    <w:rsid w:val="1B41482F"/>
    <w:rsid w:val="23F54412"/>
    <w:rsid w:val="25F43520"/>
    <w:rsid w:val="27264B97"/>
    <w:rsid w:val="2B7F7EB0"/>
    <w:rsid w:val="2C2475BB"/>
    <w:rsid w:val="2DD64C1C"/>
    <w:rsid w:val="30B85F38"/>
    <w:rsid w:val="33C63C26"/>
    <w:rsid w:val="3D4E01F9"/>
    <w:rsid w:val="3DA304A7"/>
    <w:rsid w:val="3DD371A3"/>
    <w:rsid w:val="410F4109"/>
    <w:rsid w:val="4A8E486D"/>
    <w:rsid w:val="4C8E381E"/>
    <w:rsid w:val="4E7A3E0F"/>
    <w:rsid w:val="50BD3665"/>
    <w:rsid w:val="51B73C30"/>
    <w:rsid w:val="53BB07FC"/>
    <w:rsid w:val="5D0764F7"/>
    <w:rsid w:val="60C97466"/>
    <w:rsid w:val="62F53326"/>
    <w:rsid w:val="650A1E5E"/>
    <w:rsid w:val="65903DA5"/>
    <w:rsid w:val="67100EF4"/>
    <w:rsid w:val="69AE1D23"/>
    <w:rsid w:val="6A587724"/>
    <w:rsid w:val="6A822C38"/>
    <w:rsid w:val="6C8B52F0"/>
    <w:rsid w:val="75B23365"/>
    <w:rsid w:val="79AD7EBF"/>
    <w:rsid w:val="7B185256"/>
    <w:rsid w:val="7B415D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005C81"/>
      <w:u w:val="none"/>
    </w:rPr>
  </w:style>
  <w:style w:type="character" w:styleId="11">
    <w:name w:val="Emphasis"/>
    <w:basedOn w:val="7"/>
    <w:qFormat/>
    <w:uiPriority w:val="0"/>
  </w:style>
  <w:style w:type="character" w:styleId="12">
    <w:name w:val="Hyperlink"/>
    <w:basedOn w:val="7"/>
    <w:qFormat/>
    <w:uiPriority w:val="0"/>
    <w:rPr>
      <w:color w:val="005C81"/>
      <w:u w:val="none"/>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fr1"/>
    <w:basedOn w:val="7"/>
    <w:qFormat/>
    <w:uiPriority w:val="0"/>
  </w:style>
  <w:style w:type="paragraph" w:customStyle="1" w:styleId="16">
    <w:name w:val="正文 New"/>
    <w:qFormat/>
    <w:uiPriority w:val="0"/>
    <w:pPr>
      <w:widowControl w:val="0"/>
      <w:jc w:val="both"/>
    </w:pPr>
    <w:rPr>
      <w:rFonts w:ascii="Times New Roman" w:hAnsi="Times New Roman" w:eastAsia="仿宋体" w:cs="Times New Roman"/>
      <w:kern w:val="2"/>
      <w:sz w:val="32"/>
      <w:szCs w:val="22"/>
      <w:lang w:val="en-US" w:eastAsia="zh-CN" w:bidi="ar-SA"/>
    </w:rPr>
  </w:style>
  <w:style w:type="paragraph" w:customStyle="1" w:styleId="17">
    <w:name w:val="正文 New New New"/>
    <w:qFormat/>
    <w:uiPriority w:val="0"/>
    <w:pPr>
      <w:widowControl w:val="0"/>
      <w:jc w:val="both"/>
    </w:pPr>
    <w:rPr>
      <w:rFonts w:ascii="Calibri" w:hAnsi="Calibri" w:eastAsia="仿宋_GB2312" w:cs="Times New Roman"/>
      <w:kern w:val="2"/>
      <w:sz w:val="32"/>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xkclcf</dc:creator>
  <cp:lastModifiedBy>lenovo</cp:lastModifiedBy>
  <cp:lastPrinted>2019-07-05T06:08:00Z</cp:lastPrinted>
  <dcterms:modified xsi:type="dcterms:W3CDTF">2019-07-05T09:57:22Z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