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</w:p>
    <w:p>
      <w:pPr>
        <w:spacing w:line="400" w:lineRule="exact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公开征集</w:t>
      </w:r>
      <w:r>
        <w:rPr>
          <w:rFonts w:hint="eastAsia" w:ascii="方正小标宋简体" w:eastAsia="方正小标宋简体"/>
          <w:sz w:val="44"/>
          <w:szCs w:val="44"/>
        </w:rPr>
        <w:t>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人民</w:t>
      </w:r>
      <w:r>
        <w:rPr>
          <w:rFonts w:hint="eastAsia" w:ascii="方正小标宋简体" w:eastAsia="方正小标宋简体"/>
          <w:sz w:val="44"/>
          <w:szCs w:val="44"/>
        </w:rPr>
        <w:t>政府20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立法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计划立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法项目</w:t>
      </w:r>
      <w:r>
        <w:rPr>
          <w:rFonts w:hint="eastAsia" w:ascii="方正小标宋简体" w:eastAsia="方正小标宋简体"/>
          <w:sz w:val="44"/>
          <w:szCs w:val="44"/>
        </w:rPr>
        <w:t>建议表</w:t>
      </w:r>
    </w:p>
    <w:p>
      <w:pPr>
        <w:spacing w:line="260" w:lineRule="exact"/>
        <w:rPr>
          <w:rFonts w:hint="eastAsia" w:ascii="方正楷体_GBK" w:eastAsia="方正楷体_GBK"/>
          <w:sz w:val="30"/>
          <w:szCs w:val="30"/>
        </w:rPr>
      </w:pP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098"/>
        <w:gridCol w:w="1582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填表时间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7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立法的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依据、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必要性和可行性：</w:t>
            </w: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上位法制定和修订情况，省外同类立法情况：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立法拟解决的主要问题和拟规定的主要内容：</w:t>
            </w: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41F2A"/>
    <w:rsid w:val="06541F2A"/>
    <w:rsid w:val="10EF36CF"/>
    <w:rsid w:val="25752CF9"/>
    <w:rsid w:val="44883AFD"/>
    <w:rsid w:val="5ADF33A3"/>
    <w:rsid w:val="68095B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2019-08-15T07:26:00Z</dcterms:created>
  <dc:creator>user095</dc:creator>
  <cp:lastModifiedBy>lenovo</cp:lastModifiedBy>
  <cp:lastPrinted>2019-08-20T07:58:00Z</cp:lastPrinted>
  <dcterms:modified xsi:type="dcterms:W3CDTF">2019-08-20T08:13:21Z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