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药物（</w:t>
      </w:r>
      <w:r>
        <w:rPr>
          <w:rFonts w:hint="eastAsia" w:ascii="黑体" w:hAnsi="黑体" w:eastAsia="黑体" w:cs="方正小标宋简体"/>
          <w:sz w:val="32"/>
          <w:szCs w:val="32"/>
        </w:rPr>
        <w:t>疫苗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方正小标宋简体"/>
          <w:sz w:val="32"/>
          <w:szCs w:val="32"/>
        </w:rPr>
        <w:t>临床试验机构监督检查程序</w:t>
      </w:r>
    </w:p>
    <w:p>
      <w:pPr>
        <w:snapToGrid w:val="0"/>
        <w:spacing w:line="360" w:lineRule="auto"/>
        <w:ind w:firstLine="2811" w:firstLineChars="100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新宋体" w:hAnsi="新宋体" w:cs="宋体"/>
          <w:b/>
          <w:color w:val="000000"/>
          <w:sz w:val="28"/>
          <w:szCs w:val="28"/>
        </w:rPr>
        <w:t>（</w:t>
      </w:r>
      <w:r>
        <w:rPr>
          <w:rFonts w:hint="eastAsia" w:ascii="新宋体" w:hAnsi="新宋体" w:cs="宋体"/>
          <w:b/>
          <w:color w:val="000000"/>
          <w:sz w:val="28"/>
          <w:szCs w:val="28"/>
          <w:lang w:eastAsia="zh-CN"/>
        </w:rPr>
        <w:t>征求意见稿</w:t>
      </w:r>
      <w:r>
        <w:rPr>
          <w:rFonts w:hint="eastAsia" w:ascii="新宋体" w:hAnsi="新宋体" w:cs="宋体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 范围</w:t>
      </w:r>
    </w:p>
    <w:p>
      <w:pPr>
        <w:topLinePunct/>
        <w:spacing w:line="360" w:lineRule="auto"/>
        <w:ind w:firstLine="120" w:firstLineChars="50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 xml:space="preserve"> 本程序规定了云南省药品监督管理局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（以下简称省局）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药物（疫苗）临床试验机构监管计划的制定、实施的工作内容及要求。</w:t>
      </w:r>
    </w:p>
    <w:p>
      <w:pPr>
        <w:topLinePunct/>
        <w:spacing w:line="360" w:lineRule="auto"/>
        <w:ind w:firstLine="480" w:firstLineChars="200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本程序适用于省局对获得临床试验机构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国家备案号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的研究机构进行日常监督检查的控制。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 引用文件</w:t>
      </w:r>
    </w:p>
    <w:p>
      <w:pPr>
        <w:topLinePunct/>
        <w:spacing w:line="360" w:lineRule="auto"/>
        <w:ind w:firstLine="120" w:firstLineChars="50"/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《药物临床试验机构管理规定》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、《药物临床试验质量管理规范》、《疫苗临床试验质量管理指导原则（试行）》</w:t>
      </w:r>
    </w:p>
    <w:p>
      <w:pPr>
        <w:topLinePunct/>
        <w:spacing w:line="360" w:lineRule="auto"/>
        <w:rPr>
          <w:rFonts w:ascii="黑体" w:hAnsi="黑体" w:eastAsia="黑体" w:cs="仿宋_GB2312"/>
          <w:color w:val="000000"/>
          <w:sz w:val="24"/>
          <w:szCs w:val="24"/>
        </w:rPr>
      </w:pPr>
      <w:r>
        <w:rPr>
          <w:rFonts w:hint="eastAsia" w:ascii="黑体" w:hAnsi="黑体" w:eastAsia="黑体" w:cs="仿宋_GB2312"/>
          <w:color w:val="000000"/>
          <w:sz w:val="24"/>
          <w:szCs w:val="24"/>
        </w:rPr>
        <w:t>3 术语和定义</w:t>
      </w:r>
    </w:p>
    <w:p>
      <w:pPr>
        <w:topLinePunct/>
        <w:spacing w:line="360" w:lineRule="auto"/>
        <w:ind w:firstLine="480" w:firstLineChars="200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cs="仿宋_GB2312" w:asciiTheme="minorEastAsia" w:hAnsiTheme="minorEastAsia" w:eastAsiaTheme="minorEastAsia"/>
          <w:color w:val="000000"/>
          <w:sz w:val="24"/>
          <w:szCs w:val="24"/>
        </w:rPr>
        <w:t>无术语和定义，保留此条款是便于今后的修订。</w:t>
      </w:r>
    </w:p>
    <w:p>
      <w:pPr>
        <w:topLinePunct/>
        <w:spacing w:line="360" w:lineRule="auto"/>
        <w:rPr>
          <w:rFonts w:ascii="黑体" w:hAnsi="黑体" w:eastAsia="黑体" w:cs="仿宋_GB2312"/>
          <w:color w:val="000000"/>
          <w:sz w:val="24"/>
          <w:szCs w:val="24"/>
        </w:rPr>
      </w:pPr>
      <w:r>
        <w:rPr>
          <w:rFonts w:hint="eastAsia" w:ascii="黑体" w:hAnsi="黑体" w:eastAsia="黑体" w:cs="仿宋_GB2312"/>
          <w:color w:val="000000"/>
          <w:sz w:val="24"/>
          <w:szCs w:val="24"/>
        </w:rPr>
        <w:t>4 职责和权限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4.1 分管局长负责审批《年度监管计划》。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4.2 药品化妆品注册管理处负责制定《年度监管计划》；负责成立检查组并指定检查组长；负责监督检查结果的综合评定。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4.3 办公室负责公文格式审核、公文分发工作。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4.4 监督检查组长负责制定《检查方案》；负责汇报监督检查情况。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4.5 监督检查组负责召开首、末次会议；负责编制《监督检查报告》。</w:t>
      </w:r>
    </w:p>
    <w:p>
      <w:pPr>
        <w:topLinePunct/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 工作内容及要求</w:t>
      </w:r>
    </w:p>
    <w:p>
      <w:pPr>
        <w:topLinePunct/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5.1 制定监督检查计划</w:t>
      </w:r>
    </w:p>
    <w:p>
      <w:pPr>
        <w:topLinePunct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5.1.1</w:t>
      </w:r>
      <w:r>
        <w:rPr>
          <w:rFonts w:hint="eastAsia" w:ascii="宋体" w:hAnsi="宋体"/>
          <w:color w:val="000000"/>
          <w:sz w:val="24"/>
          <w:szCs w:val="24"/>
        </w:rPr>
        <w:t>药品化妆品注册管理处每年初根据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研究机构上年度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运行及报</w:t>
      </w:r>
      <w:r>
        <w:rPr>
          <w:rFonts w:hint="eastAsia" w:ascii="宋体" w:hAnsi="宋体"/>
          <w:color w:val="000000"/>
          <w:sz w:val="24"/>
          <w:szCs w:val="24"/>
        </w:rPr>
        <w:t>备情况，按照目标明确、重点突出、统筹兼顾、有效覆盖的要求，制定《年度监管计划》。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5.1.2《年度监管计划》经药品化妆品注册管理处处长审核后转交办公室，办公室依据《云南省食品药品监督管理局公文处理办法》进行公文格式审核，分管局长审批。</w:t>
      </w:r>
    </w:p>
    <w:p>
      <w:pPr>
        <w:topLinePunct/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5.2监督检查方式、时限</w:t>
      </w:r>
    </w:p>
    <w:p>
      <w:pPr>
        <w:topLinePunct/>
        <w:spacing w:line="360" w:lineRule="auto"/>
        <w:ind w:firstLine="480" w:firstLineChars="200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临床试验机构监督检查采用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监督检查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和现场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项目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检查相结合的方式。每年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第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一季度制定本年度的监督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检查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工作方案，新备案的试验机构或者增加临床试验专业、地址变更的，应当在60个工作日内开展首次监督检查。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其它监督检查可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根据项目的进度和风险程度，省局可调整检查方式和检查时间。</w:t>
      </w:r>
    </w:p>
    <w:p>
      <w:pPr>
        <w:topLinePunct/>
        <w:spacing w:line="360" w:lineRule="auto"/>
        <w:rPr>
          <w:rFonts w:ascii="黑体" w:hAnsi="黑体" w:eastAsia="黑体" w:cs="仿宋_GB2312"/>
          <w:color w:val="000000"/>
          <w:sz w:val="24"/>
          <w:szCs w:val="24"/>
        </w:rPr>
      </w:pPr>
      <w:r>
        <w:rPr>
          <w:rFonts w:hint="eastAsia" w:ascii="黑体" w:hAnsi="黑体" w:eastAsia="黑体" w:cs="仿宋_GB2312"/>
          <w:color w:val="000000"/>
          <w:sz w:val="24"/>
          <w:szCs w:val="24"/>
        </w:rPr>
        <w:t>5.3监督检查准备</w:t>
      </w:r>
    </w:p>
    <w:p>
      <w:pPr>
        <w:topLinePunct/>
        <w:spacing w:line="360" w:lineRule="auto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5.3.1 药品化妆品注册管理处根据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运行及报备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情况，确定被检查的试验机构，组成监督检查组并指定监督检查组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组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长。</w:t>
      </w:r>
    </w:p>
    <w:p>
      <w:pPr>
        <w:topLinePunct/>
        <w:spacing w:line="360" w:lineRule="auto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5.3.2 监督检查组组长组织检查组成员熟悉《药物临床试验质量管理规范》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eastAsia="zh-CN"/>
        </w:rPr>
        <w:t>、《疫苗临床试验质量管理指导原则（试行）》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及相关资料，制定《检查方案》，并根据项目启动情况和进度确定检查日期，在检查的前一天通知试验机构。</w:t>
      </w:r>
    </w:p>
    <w:p>
      <w:pPr>
        <w:topLinePunct/>
        <w:spacing w:line="360" w:lineRule="auto"/>
        <w:rPr>
          <w:rFonts w:ascii="黑体" w:hAnsi="黑体" w:eastAsia="黑体" w:cs="仿宋_GB2312"/>
          <w:color w:val="000000"/>
          <w:sz w:val="24"/>
          <w:szCs w:val="24"/>
        </w:rPr>
      </w:pPr>
      <w:r>
        <w:rPr>
          <w:rFonts w:hint="eastAsia" w:ascii="黑体" w:hAnsi="黑体" w:eastAsia="黑体" w:cs="仿宋_GB2312"/>
          <w:color w:val="000000"/>
          <w:sz w:val="24"/>
          <w:szCs w:val="24"/>
        </w:rPr>
        <w:t>5.4 监督检查实施</w:t>
      </w:r>
    </w:p>
    <w:p>
      <w:pPr>
        <w:topLinePunct/>
        <w:spacing w:line="360" w:lineRule="auto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5.4.1监督检查组到达现场后召开首次会议，明确检查内容、检查范围、检查要求、检查时间及需要配合的事项，检查组长组织监督检查组召开综合分析会，对检查情况进行综合分析。</w:t>
      </w:r>
    </w:p>
    <w:p>
      <w:pPr>
        <w:topLinePunct/>
        <w:spacing w:line="360" w:lineRule="auto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5.4.2 监督检查组召开</w:t>
      </w: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  <w:lang w:val="en-US" w:eastAsia="zh-CN"/>
        </w:rPr>
        <w:t>末次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>会议，将检查情况通报研究机构并形成《检查报告》，监督检查组、临床试验机构在检查报告上签字确认。</w:t>
      </w:r>
    </w:p>
    <w:p>
      <w:pPr>
        <w:topLinePunct/>
        <w:spacing w:line="360" w:lineRule="auto"/>
        <w:rPr>
          <w:rFonts w:ascii="宋体" w:hAnsi="宋体" w:cs="仿宋_GB2312"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  <w:t xml:space="preserve">5.4.3 </w:t>
      </w:r>
      <w:r>
        <w:rPr>
          <w:rFonts w:hint="eastAsia" w:ascii="宋体" w:hAnsi="宋体" w:cs="仿宋_GB2312"/>
          <w:color w:val="000000"/>
          <w:sz w:val="24"/>
          <w:szCs w:val="24"/>
        </w:rPr>
        <w:t>监督检查组长向药品化妆品注册管理处汇报监督检查情况，药品化妆品注册管理处根据监督检查组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的</w:t>
      </w:r>
      <w:r>
        <w:rPr>
          <w:rFonts w:hint="eastAsia" w:ascii="宋体" w:hAnsi="宋体" w:cs="仿宋_GB2312"/>
          <w:color w:val="000000"/>
          <w:sz w:val="24"/>
          <w:szCs w:val="24"/>
        </w:rPr>
        <w:t>《检查报告》做出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综合</w:t>
      </w:r>
      <w:r>
        <w:rPr>
          <w:rFonts w:hint="eastAsia" w:ascii="宋体" w:hAnsi="宋体" w:cs="仿宋_GB2312"/>
          <w:color w:val="000000"/>
          <w:sz w:val="24"/>
          <w:szCs w:val="24"/>
        </w:rPr>
        <w:t>评定结论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。检查情况或处理结论经省局领导批准后</w:t>
      </w:r>
      <w:r>
        <w:rPr>
          <w:rFonts w:hint="eastAsia" w:ascii="宋体" w:hAnsi="宋体" w:cs="仿宋_GB2312"/>
          <w:color w:val="000000"/>
          <w:sz w:val="24"/>
          <w:szCs w:val="24"/>
          <w:lang w:val="en-US" w:eastAsia="zh-CN"/>
        </w:rPr>
        <w:t>20天内在省局网站进行公开</w:t>
      </w:r>
      <w:r>
        <w:rPr>
          <w:rFonts w:hint="eastAsia" w:ascii="宋体" w:hAnsi="宋体" w:cs="仿宋_GB2312"/>
          <w:color w:val="000000"/>
          <w:sz w:val="24"/>
          <w:szCs w:val="24"/>
        </w:rPr>
        <w:t>，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视情况</w:t>
      </w:r>
      <w:r>
        <w:rPr>
          <w:rFonts w:hint="eastAsia" w:ascii="宋体" w:hAnsi="宋体" w:cs="仿宋_GB2312"/>
          <w:color w:val="000000"/>
          <w:sz w:val="24"/>
          <w:szCs w:val="24"/>
        </w:rPr>
        <w:t>报送国家药品监督管理局。</w:t>
      </w:r>
    </w:p>
    <w:p>
      <w:pPr>
        <w:topLinePunct/>
        <w:spacing w:line="360" w:lineRule="auto"/>
        <w:rPr>
          <w:rFonts w:cs="仿宋_GB2312" w:asciiTheme="minorEastAsia" w:hAnsiTheme="minorEastAsia" w:eastAsiaTheme="minorEastAsia"/>
          <w:color w:val="000000"/>
          <w:sz w:val="24"/>
          <w:szCs w:val="24"/>
        </w:rPr>
      </w:pPr>
    </w:p>
    <w:p>
      <w:pPr>
        <w:topLinePunct/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6 记录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6.1 年度监管计划 (非制式)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6.2 检查方案(非制式)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6.3 检查报告(非制式)</w:t>
      </w:r>
    </w:p>
    <w:p>
      <w:pPr>
        <w:widowControl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br w:type="page"/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附录</w:t>
      </w:r>
    </w:p>
    <w:p>
      <w:pPr>
        <w:topLinePunct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object>
          <v:shape id="_x0000_i1025" o:spt="75" type="#_x0000_t75" style="height:485.65pt;width:41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sectPr>
      <w:headerReference r:id="rId3" w:type="firs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0"/>
    <w:rsid w:val="000130F0"/>
    <w:rsid w:val="00140B63"/>
    <w:rsid w:val="001730DB"/>
    <w:rsid w:val="00181E3D"/>
    <w:rsid w:val="00196F1A"/>
    <w:rsid w:val="001A2248"/>
    <w:rsid w:val="001D0B91"/>
    <w:rsid w:val="001E3480"/>
    <w:rsid w:val="00207A78"/>
    <w:rsid w:val="002235DE"/>
    <w:rsid w:val="0027495D"/>
    <w:rsid w:val="002D56CA"/>
    <w:rsid w:val="003516C4"/>
    <w:rsid w:val="0037719F"/>
    <w:rsid w:val="003E38C8"/>
    <w:rsid w:val="004257E4"/>
    <w:rsid w:val="004C3AAD"/>
    <w:rsid w:val="00511F31"/>
    <w:rsid w:val="0051651C"/>
    <w:rsid w:val="00595816"/>
    <w:rsid w:val="00596C12"/>
    <w:rsid w:val="005A05B7"/>
    <w:rsid w:val="005A423D"/>
    <w:rsid w:val="005B04BE"/>
    <w:rsid w:val="005E2429"/>
    <w:rsid w:val="00660F1B"/>
    <w:rsid w:val="006D2F83"/>
    <w:rsid w:val="0073045F"/>
    <w:rsid w:val="007C3018"/>
    <w:rsid w:val="00847016"/>
    <w:rsid w:val="0091127A"/>
    <w:rsid w:val="00915A77"/>
    <w:rsid w:val="00933684"/>
    <w:rsid w:val="0097650A"/>
    <w:rsid w:val="0098452D"/>
    <w:rsid w:val="00987BE2"/>
    <w:rsid w:val="00A05ADC"/>
    <w:rsid w:val="00A95A33"/>
    <w:rsid w:val="00AA20F4"/>
    <w:rsid w:val="00AE460D"/>
    <w:rsid w:val="00B125B5"/>
    <w:rsid w:val="00B16253"/>
    <w:rsid w:val="00B254DD"/>
    <w:rsid w:val="00B31799"/>
    <w:rsid w:val="00BF2661"/>
    <w:rsid w:val="00C02C8B"/>
    <w:rsid w:val="00C9738A"/>
    <w:rsid w:val="00C97C74"/>
    <w:rsid w:val="00CD1A4B"/>
    <w:rsid w:val="00CD1AD4"/>
    <w:rsid w:val="00D03A51"/>
    <w:rsid w:val="00D542FD"/>
    <w:rsid w:val="00DD45BA"/>
    <w:rsid w:val="00DE7C13"/>
    <w:rsid w:val="00DF0F92"/>
    <w:rsid w:val="00DF6FC9"/>
    <w:rsid w:val="00E02D23"/>
    <w:rsid w:val="00E22B2C"/>
    <w:rsid w:val="00EC2F5C"/>
    <w:rsid w:val="00EF7DAB"/>
    <w:rsid w:val="00F138B4"/>
    <w:rsid w:val="00F349D8"/>
    <w:rsid w:val="00F83878"/>
    <w:rsid w:val="023E6066"/>
    <w:rsid w:val="08A926F4"/>
    <w:rsid w:val="0E0A6F11"/>
    <w:rsid w:val="148E7594"/>
    <w:rsid w:val="18BC1D9E"/>
    <w:rsid w:val="19C52A13"/>
    <w:rsid w:val="286A0919"/>
    <w:rsid w:val="2A5E0857"/>
    <w:rsid w:val="354534E1"/>
    <w:rsid w:val="3FF86DB3"/>
    <w:rsid w:val="47722746"/>
    <w:rsid w:val="58BB0D63"/>
    <w:rsid w:val="600D1779"/>
    <w:rsid w:val="64D27FD7"/>
    <w:rsid w:val="66066D77"/>
    <w:rsid w:val="6B991540"/>
    <w:rsid w:val="6FE5096A"/>
    <w:rsid w:val="70A052E6"/>
    <w:rsid w:val="780C71D9"/>
    <w:rsid w:val="7A2B3FCD"/>
    <w:rsid w:val="7DA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1"/>
    <w:basedOn w:val="1"/>
    <w:qFormat/>
    <w:uiPriority w:val="99"/>
    <w:pPr>
      <w:snapToGrid w:val="0"/>
      <w:spacing w:beforeLines="800" w:afterLines="200"/>
      <w:jc w:val="center"/>
    </w:pPr>
    <w:rPr>
      <w:rFonts w:ascii="方正小标宋简体" w:hAnsi="宋体" w:eastAsia="方正小标宋简体"/>
      <w:sz w:val="4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4930A-A2E2-4863-9827-912AC0390F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178</Words>
  <Characters>1018</Characters>
  <Lines>8</Lines>
  <Paragraphs>2</Paragraphs>
  <TotalTime>2</TotalTime>
  <ScaleCrop>false</ScaleCrop>
  <LinksUpToDate>false</LinksUpToDate>
  <CharactersWithSpaces>1194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2019-11-25T09:11:00Z</dcterms:created>
  <dc:creator>孙亚萍</dc:creator>
  <cp:lastModifiedBy>尘辰 </cp:lastModifiedBy>
  <cp:lastPrinted>2020-03-26T08:24:00Z</cp:lastPrinted>
  <dcterms:modified xsi:type="dcterms:W3CDTF">2021-08-17T07:00:12Z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1AC629EBC2AC431B902D014562308306</vt:lpwstr>
  </property>
</Properties>
</file>