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hint="eastAsia" w:ascii="黑体" w:hAnsi="黑体" w:eastAsia="黑体" w:cs="黑体"/>
          <w:sz w:val="32"/>
          <w:szCs w:val="32"/>
          <w:highlight w:val="none"/>
          <w:lang w:eastAsia="zh-CN"/>
        </w:rPr>
      </w:pPr>
      <w:bookmarkStart w:id="1" w:name="_GoBack"/>
      <w:bookmarkEnd w:id="1"/>
      <w:r>
        <w:rPr>
          <w:rFonts w:hint="eastAsia" w:ascii="黑体" w:hAnsi="黑体" w:eastAsia="黑体" w:cs="黑体"/>
          <w:sz w:val="32"/>
          <w:szCs w:val="32"/>
          <w:highlight w:val="none"/>
          <w:lang w:eastAsia="zh-CN"/>
        </w:rPr>
        <w:t>附件</w:t>
      </w:r>
    </w:p>
    <w:p>
      <w:pPr>
        <w:pStyle w:val="2"/>
        <w:keepNext w:val="0"/>
        <w:keepLines w:val="0"/>
        <w:pageBreakBefore w:val="0"/>
        <w:widowControl/>
        <w:kinsoku/>
        <w:wordWrap/>
        <w:overflowPunct/>
        <w:topLinePunct w:val="0"/>
        <w:autoSpaceDE/>
        <w:autoSpaceDN/>
        <w:bidi w:val="0"/>
        <w:adjustRightInd w:val="0"/>
        <w:snapToGrid w:val="0"/>
        <w:spacing w:line="590" w:lineRule="exact"/>
        <w:ind w:left="0" w:firstLine="624" w:firstLineChars="200"/>
        <w:textAlignment w:val="auto"/>
        <w:rPr>
          <w:rFonts w:ascii="仿宋_GB2312" w:hAnsi="仿宋_GB2312"/>
          <w:sz w:val="32"/>
          <w:szCs w:val="32"/>
          <w:highlight w:val="none"/>
          <w:lang w:eastAsia="zh-CN"/>
        </w:rPr>
      </w:pPr>
    </w:p>
    <w:p>
      <w:pPr>
        <w:pStyle w:val="40"/>
        <w:keepNext w:val="0"/>
        <w:keepLines w:val="0"/>
        <w:pageBreakBefore w:val="0"/>
        <w:widowControl/>
        <w:kinsoku/>
        <w:wordWrap/>
        <w:overflowPunct/>
        <w:topLinePunct w:val="0"/>
        <w:autoSpaceDE/>
        <w:autoSpaceDN/>
        <w:bidi w:val="0"/>
        <w:adjustRightInd w:val="0"/>
        <w:snapToGrid w:val="0"/>
        <w:spacing w:before="0" w:after="0" w:line="590" w:lineRule="exact"/>
        <w:ind w:left="0" w:leftChars="0" w:firstLine="0" w:firstLineChars="0"/>
        <w:jc w:val="center"/>
        <w:textAlignment w:val="auto"/>
        <w:rPr>
          <w:rFonts w:hint="eastAsia" w:ascii="方正小标宋简体" w:hAnsi="方正小标宋简体" w:eastAsia="方正小标宋简体" w:cs="方正小标宋简体"/>
          <w:b w:val="0"/>
          <w:sz w:val="44"/>
          <w:szCs w:val="44"/>
          <w:highlight w:val="none"/>
        </w:rPr>
      </w:pPr>
      <w:r>
        <w:rPr>
          <w:rFonts w:hint="eastAsia" w:ascii="方正小标宋简体" w:hAnsi="方正小标宋简体" w:eastAsia="方正小标宋简体" w:cs="方正小标宋简体"/>
          <w:b w:val="0"/>
          <w:sz w:val="44"/>
          <w:szCs w:val="44"/>
          <w:highlight w:val="none"/>
        </w:rPr>
        <w:fldChar w:fldCharType="begin"/>
      </w:r>
      <w:r>
        <w:rPr>
          <w:rFonts w:hint="eastAsia" w:ascii="方正小标宋简体" w:hAnsi="方正小标宋简体" w:eastAsia="方正小标宋简体" w:cs="方正小标宋简体"/>
          <w:b w:val="0"/>
          <w:sz w:val="44"/>
          <w:szCs w:val="44"/>
          <w:highlight w:val="none"/>
        </w:rPr>
        <w:instrText xml:space="preserve">ADDIN CNKISM.UserStyle</w:instrText>
      </w:r>
      <w:r>
        <w:rPr>
          <w:rFonts w:hint="eastAsia" w:ascii="方正小标宋简体" w:hAnsi="方正小标宋简体" w:eastAsia="方正小标宋简体" w:cs="方正小标宋简体"/>
          <w:b w:val="0"/>
          <w:sz w:val="44"/>
          <w:szCs w:val="44"/>
          <w:highlight w:val="none"/>
        </w:rPr>
        <w:fldChar w:fldCharType="separate"/>
      </w:r>
      <w:r>
        <w:rPr>
          <w:rFonts w:hint="eastAsia" w:ascii="方正小标宋简体" w:hAnsi="方正小标宋简体" w:eastAsia="方正小标宋简体" w:cs="方正小标宋简体"/>
          <w:b w:val="0"/>
          <w:sz w:val="44"/>
          <w:szCs w:val="44"/>
          <w:highlight w:val="none"/>
        </w:rPr>
        <w:fldChar w:fldCharType="end"/>
      </w:r>
      <w:r>
        <w:rPr>
          <w:rFonts w:hint="eastAsia" w:ascii="方正小标宋简体" w:hAnsi="方正小标宋简体" w:eastAsia="方正小标宋简体" w:cs="方正小标宋简体"/>
          <w:b w:val="0"/>
          <w:sz w:val="44"/>
          <w:szCs w:val="44"/>
          <w:highlight w:val="none"/>
        </w:rPr>
        <w:t>云南省科技计划项目资金管理办法</w:t>
      </w:r>
    </w:p>
    <w:p>
      <w:pPr>
        <w:pStyle w:val="40"/>
        <w:keepNext w:val="0"/>
        <w:keepLines w:val="0"/>
        <w:pageBreakBefore w:val="0"/>
        <w:widowControl/>
        <w:kinsoku/>
        <w:wordWrap/>
        <w:overflowPunct/>
        <w:topLinePunct w:val="0"/>
        <w:autoSpaceDE/>
        <w:autoSpaceDN/>
        <w:bidi w:val="0"/>
        <w:adjustRightInd w:val="0"/>
        <w:snapToGrid w:val="0"/>
        <w:spacing w:before="0" w:after="0" w:line="590" w:lineRule="exact"/>
        <w:ind w:left="0" w:leftChars="0" w:firstLine="0" w:firstLineChars="0"/>
        <w:jc w:val="center"/>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征求意见稿</w:t>
      </w:r>
      <w:r>
        <w:rPr>
          <w:rFonts w:hint="eastAsia" w:ascii="楷体_GB2312" w:hAnsi="楷体_GB2312" w:eastAsia="楷体_GB2312" w:cs="楷体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   则</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黑体" w:hAnsi="黑体" w:eastAsia="黑体" w:cs="黑体"/>
          <w:bCs/>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第一条</w:t>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sz w:val="32"/>
          <w:szCs w:val="32"/>
          <w:highlight w:val="none"/>
        </w:rPr>
        <w:t>为进一步规范和加强我省科技计划项目资金管理，提高财政资金使用效益，根据《中华人民共和国预算法》《中华人民共和国预算法实施条例</w:t>
      </w:r>
      <w:r>
        <w:rPr>
          <w:rFonts w:hint="eastAsia" w:ascii="仿宋_GB2312" w:hAnsi="仿宋_GB2312" w:eastAsia="仿宋_GB2312" w:cs="仿宋_GB2312"/>
          <w:color w:val="333333"/>
          <w:sz w:val="32"/>
          <w:szCs w:val="32"/>
          <w:highlight w:val="none"/>
          <w:shd w:val="clear" w:color="auto" w:fill="FFFFFF"/>
        </w:rPr>
        <w:t>》</w:t>
      </w:r>
      <w:r>
        <w:rPr>
          <w:rFonts w:hint="eastAsia" w:ascii="仿宋_GB2312" w:eastAsia="仿宋_GB2312"/>
          <w:sz w:val="32"/>
          <w:szCs w:val="32"/>
          <w:highlight w:val="none"/>
        </w:rPr>
        <w:t>《国务院办公厅关于改革完善中央财政科研经费管理的若干意见》(国办发〔2021〕32号)</w:t>
      </w:r>
      <w:r>
        <w:rPr>
          <w:rFonts w:hint="eastAsia" w:ascii="仿宋_GB2312" w:hAnsi="仿宋_GB2312" w:eastAsia="仿宋_GB2312" w:cs="仿宋_GB2312"/>
          <w:sz w:val="32"/>
          <w:szCs w:val="32"/>
          <w:highlight w:val="none"/>
        </w:rPr>
        <w:t>等有关规定，结合我省科技计划项目资金管理实际，制定本办法。</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第二条</w:t>
      </w:r>
      <w:r>
        <w:rPr>
          <w:rFonts w:hint="eastAsia" w:ascii="仿宋_GB2312" w:eastAsia="仿宋_GB2312"/>
          <w:bCs/>
          <w:sz w:val="32"/>
          <w:szCs w:val="32"/>
          <w:highlight w:val="none"/>
        </w:rPr>
        <w:t xml:space="preserve">  云南省科技计划</w:t>
      </w:r>
      <w:r>
        <w:rPr>
          <w:rFonts w:hint="eastAsia" w:ascii="仿宋_GB2312" w:hAnsi="仿宋_GB2312" w:eastAsia="仿宋_GB2312" w:cs="仿宋_GB2312"/>
          <w:sz w:val="32"/>
          <w:szCs w:val="32"/>
          <w:highlight w:val="none"/>
        </w:rPr>
        <w:t>（专项、基金等）</w:t>
      </w:r>
      <w:r>
        <w:rPr>
          <w:rFonts w:hint="eastAsia" w:ascii="仿宋_GB2312" w:eastAsia="仿宋_GB2312"/>
          <w:bCs/>
          <w:sz w:val="32"/>
          <w:szCs w:val="32"/>
          <w:highlight w:val="none"/>
        </w:rPr>
        <w:t>实行多元化投入方式，资金来源包括省级财政资金、其他财政资金、单位自筹资金和从其他渠道获得的资金。</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hint="eastAsia" w:ascii="仿宋_GB2312" w:eastAsia="仿宋_GB2312"/>
          <w:sz w:val="32"/>
          <w:szCs w:val="32"/>
          <w:highlight w:val="none"/>
        </w:rPr>
      </w:pPr>
      <w:r>
        <w:rPr>
          <w:rFonts w:hint="eastAsia" w:ascii="黑体" w:hAnsi="黑体" w:eastAsia="黑体" w:cs="黑体"/>
          <w:sz w:val="32"/>
          <w:szCs w:val="32"/>
          <w:highlight w:val="none"/>
        </w:rPr>
        <w:t>第三</w:t>
      </w:r>
      <w:r>
        <w:rPr>
          <w:rFonts w:hint="eastAsia" w:ascii="黑体" w:hAnsi="黑体" w:eastAsia="黑体" w:cs="黑体"/>
          <w:bCs/>
          <w:sz w:val="32"/>
          <w:szCs w:val="32"/>
          <w:highlight w:val="none"/>
        </w:rPr>
        <w:t>条</w:t>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sz w:val="32"/>
          <w:szCs w:val="32"/>
          <w:highlight w:val="none"/>
        </w:rPr>
        <w:t>本办法主要规范省级财政预算安排的科技计划项目资金，以及管理上述资金所需要的科技管理业务费。其他来源的资金应当按照国家有关财务会计制度和相关资金提供方的具体使用管理要求，统筹安排和使用。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rPr>
        <w:t>第四条</w:t>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sz w:val="32"/>
          <w:szCs w:val="32"/>
          <w:highlight w:val="none"/>
        </w:rPr>
        <w:t>项目资金支持对象为高校、科研院所、企业、新型研发机构等单位或社团组织。按照集中财力、突出重点，明晰权责、放管结合，遵循规律、注重绩效的原则进行管理使用。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第五条</w:t>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sz w:val="32"/>
          <w:szCs w:val="32"/>
          <w:highlight w:val="none"/>
        </w:rPr>
        <w:t>项目资金以项目法为主、因素法等为辅进行分配，采用前资助、后补助、风险补偿、科技创新券等支持方式。后补助资金由本单位自主用于研发活动支出。对人才类、基础研究类等项目采取经费包干制，</w:t>
      </w:r>
      <w:r>
        <w:rPr>
          <w:rFonts w:ascii="仿宋_GB2312" w:hAnsi="仿宋_GB2312" w:eastAsia="仿宋_GB2312" w:cs="仿宋_GB2312"/>
          <w:sz w:val="32"/>
          <w:szCs w:val="32"/>
          <w:highlight w:val="none"/>
        </w:rPr>
        <w:t>依据相应项目经费管理制度执行</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第六条</w:t>
      </w:r>
      <w:r>
        <w:rPr>
          <w:rFonts w:hint="eastAsia" w:ascii="仿宋_GB2312" w:hAnsi="仿宋_GB2312" w:eastAsia="仿宋_GB2312" w:cs="仿宋_GB2312"/>
          <w:sz w:val="32"/>
          <w:szCs w:val="32"/>
          <w:highlight w:val="none"/>
        </w:rPr>
        <w:t xml:space="preserve">  项目资金按照财政预算公开要求，面向社会公开管理办法、申报流程、分配结果、绩效评价报告等重要内容。</w:t>
      </w:r>
    </w:p>
    <w:p>
      <w:pPr>
        <w:keepNext w:val="0"/>
        <w:keepLines w:val="0"/>
        <w:kinsoku/>
        <w:wordWrap/>
        <w:overflowPunct/>
        <w:topLinePunct w:val="0"/>
        <w:bidi w:val="0"/>
        <w:spacing w:line="590" w:lineRule="exact"/>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第二章  管理职责及分工</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rPr>
        <w:t>第</w:t>
      </w:r>
      <w:r>
        <w:rPr>
          <w:rFonts w:hint="eastAsia" w:ascii="黑体" w:hAnsi="黑体" w:eastAsia="黑体" w:cs="黑体"/>
          <w:bCs/>
          <w:sz w:val="32"/>
          <w:szCs w:val="32"/>
          <w:highlight w:val="none"/>
          <w:lang w:eastAsia="zh-CN"/>
        </w:rPr>
        <w:t>七</w:t>
      </w:r>
      <w:r>
        <w:rPr>
          <w:rFonts w:hint="eastAsia" w:ascii="黑体" w:hAnsi="黑体" w:eastAsia="黑体" w:cs="黑体"/>
          <w:bCs/>
          <w:sz w:val="32"/>
          <w:szCs w:val="32"/>
          <w:highlight w:val="none"/>
        </w:rPr>
        <w:t>条</w:t>
      </w:r>
      <w:r>
        <w:rPr>
          <w:rFonts w:hint="eastAsia" w:ascii="仿宋_GB2312" w:hAnsi="仿宋_GB2312" w:eastAsia="仿宋_GB2312" w:cs="仿宋_GB2312"/>
          <w:bCs/>
          <w:sz w:val="32"/>
          <w:szCs w:val="32"/>
          <w:highlight w:val="none"/>
        </w:rPr>
        <w:t xml:space="preserve">  省</w:t>
      </w:r>
      <w:r>
        <w:rPr>
          <w:rFonts w:hint="eastAsia" w:ascii="仿宋_GB2312" w:hAnsi="仿宋_GB2312" w:eastAsia="仿宋_GB2312" w:cs="仿宋_GB2312"/>
          <w:sz w:val="32"/>
          <w:szCs w:val="32"/>
          <w:highlight w:val="none"/>
        </w:rPr>
        <w:t>财政厅、省科技厅负责研究制定项目资金管理办法，组织项目资金预算编制和绩效管理，并对项目资金使用管理情况进行监督检查。</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hint="eastAsia" w:ascii="黑体" w:hAnsi="黑体" w:eastAsia="黑体" w:cs="黑体"/>
          <w:bCs/>
          <w:sz w:val="32"/>
          <w:szCs w:val="32"/>
          <w:highlight w:val="none"/>
        </w:rPr>
        <w:t>第</w:t>
      </w:r>
      <w:r>
        <w:rPr>
          <w:rFonts w:hint="eastAsia" w:ascii="黑体" w:hAnsi="黑体" w:eastAsia="黑体" w:cs="黑体"/>
          <w:bCs/>
          <w:sz w:val="32"/>
          <w:szCs w:val="32"/>
          <w:highlight w:val="none"/>
          <w:lang w:eastAsia="zh-CN"/>
        </w:rPr>
        <w:t>八</w:t>
      </w:r>
      <w:r>
        <w:rPr>
          <w:rFonts w:hint="eastAsia" w:ascii="黑体" w:hAnsi="黑体" w:eastAsia="黑体" w:cs="黑体"/>
          <w:bCs/>
          <w:sz w:val="32"/>
          <w:szCs w:val="32"/>
          <w:highlight w:val="none"/>
        </w:rPr>
        <w:t>条</w:t>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省财政厅具体负责以下工作：</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（一）组织开展项目资金预决算、中期财政规划，统筹安排项目资金预算规模，做好项目资金整体调度；</w:t>
      </w:r>
    </w:p>
    <w:p>
      <w:pPr>
        <w:pStyle w:val="7"/>
        <w:keepNext w:val="0"/>
        <w:keepLines w:val="0"/>
        <w:pageBreakBefore w:val="0"/>
        <w:widowControl/>
        <w:kinsoku/>
        <w:wordWrap/>
        <w:overflowPunct/>
        <w:topLinePunct w:val="0"/>
        <w:autoSpaceDE/>
        <w:autoSpaceDN/>
        <w:bidi w:val="0"/>
        <w:adjustRightInd w:val="0"/>
        <w:snapToGrid w:val="0"/>
        <w:spacing w:after="0" w:line="590" w:lineRule="exact"/>
        <w:ind w:firstLine="640" w:firstLineChars="200"/>
        <w:textAlignment w:val="auto"/>
        <w:rPr>
          <w:rFonts w:ascii="仿宋_GB2312" w:hAnsi="仿宋_GB2312" w:cs="仿宋_GB2312"/>
          <w:sz w:val="32"/>
          <w:szCs w:val="32"/>
          <w:highlight w:val="none"/>
        </w:rPr>
      </w:pPr>
      <w:r>
        <w:rPr>
          <w:rFonts w:hint="eastAsia" w:ascii="仿宋_GB2312" w:hAnsi="仿宋_GB2312" w:cs="仿宋_GB2312"/>
          <w:bCs/>
          <w:sz w:val="32"/>
          <w:szCs w:val="32"/>
          <w:highlight w:val="none"/>
        </w:rPr>
        <w:t>（二）及时下达项目资金，强化预算执行，对资金的管理和使用情况进行监督检查；</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（三）会同有关部门对主管部门和项目单位绩效自评及评价结果进行抽查复核，适时组织实施政策和重点项目绩效评价。</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hint="eastAsia" w:ascii="黑体" w:hAnsi="黑体" w:eastAsia="黑体" w:cs="黑体"/>
          <w:bCs/>
          <w:sz w:val="32"/>
          <w:szCs w:val="32"/>
          <w:highlight w:val="none"/>
        </w:rPr>
        <w:t>第</w:t>
      </w:r>
      <w:r>
        <w:rPr>
          <w:rFonts w:hint="eastAsia" w:ascii="黑体" w:hAnsi="黑体" w:eastAsia="黑体" w:cs="黑体"/>
          <w:bCs/>
          <w:sz w:val="32"/>
          <w:szCs w:val="32"/>
          <w:highlight w:val="none"/>
          <w:lang w:eastAsia="zh-CN"/>
        </w:rPr>
        <w:t>九</w:t>
      </w:r>
      <w:r>
        <w:rPr>
          <w:rFonts w:hint="eastAsia" w:ascii="黑体" w:hAnsi="黑体" w:eastAsia="黑体" w:cs="黑体"/>
          <w:bCs/>
          <w:sz w:val="32"/>
          <w:szCs w:val="32"/>
          <w:highlight w:val="none"/>
        </w:rPr>
        <w:t>条</w:t>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省科技厅具体负责以下工作：</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（一）规范项目立项流程和审批程序，健全内部管理和监督制度；</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（二）编制中期财政规划和年度预算，建立项目库，执行已批复预算，并按规范组织公开工作；</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（三）强化项目跟踪管理，动态跟踪项目执行情况，检查项目资金的使用和项目实施情况，组织实施项目全过程绩效管理，开展绩效评估、绩效自评和部门评价，配合做好财政绩效评价。</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黑体" w:hAnsi="黑体" w:eastAsia="黑体" w:cs="黑体"/>
          <w:bCs/>
          <w:sz w:val="32"/>
          <w:szCs w:val="32"/>
          <w:highlight w:val="none"/>
        </w:rPr>
        <w:t>第十条</w:t>
      </w:r>
      <w:r>
        <w:rPr>
          <w:rFonts w:hint="eastAsia" w:ascii="仿宋_GB2312" w:hAnsi="仿宋_GB2312" w:eastAsia="仿宋_GB2312" w:cs="仿宋_GB2312"/>
          <w:bCs/>
          <w:sz w:val="32"/>
          <w:szCs w:val="32"/>
          <w:highlight w:val="none"/>
        </w:rPr>
        <w:t xml:space="preserve">  项目承担单位的主要职责：</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项目承担单位是项目资金管理使用责任主体，</w:t>
      </w:r>
      <w:r>
        <w:rPr>
          <w:rFonts w:ascii="仿宋_GB2312" w:hAnsi="仿宋_GB2312" w:eastAsia="仿宋_GB2312" w:cs="仿宋_GB2312"/>
          <w:bCs/>
          <w:sz w:val="32"/>
          <w:szCs w:val="32"/>
          <w:highlight w:val="none"/>
        </w:rPr>
        <w:t>要认真落实国家和</w:t>
      </w:r>
      <w:r>
        <w:rPr>
          <w:rFonts w:hint="eastAsia" w:ascii="仿宋_GB2312" w:hAnsi="仿宋_GB2312" w:eastAsia="仿宋_GB2312" w:cs="仿宋_GB2312"/>
          <w:bCs/>
          <w:sz w:val="32"/>
          <w:szCs w:val="32"/>
          <w:highlight w:val="none"/>
        </w:rPr>
        <w:t>云南省</w:t>
      </w:r>
      <w:r>
        <w:rPr>
          <w:rFonts w:ascii="仿宋_GB2312" w:hAnsi="仿宋_GB2312" w:eastAsia="仿宋_GB2312" w:cs="仿宋_GB2312"/>
          <w:bCs/>
          <w:sz w:val="32"/>
          <w:szCs w:val="32"/>
          <w:highlight w:val="none"/>
        </w:rPr>
        <w:t>有关政策规定，按照“权责一致，自我约束，自我规范，接住管好”的原则，健全完善内部管理制度，切实履行在项目申请、组织实施、验收和经费使用等方面的管理职责。</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ascii="仿宋_GB2312" w:hAnsi="仿宋_GB2312" w:eastAsia="仿宋_GB2312" w:cs="仿宋_GB2312"/>
          <w:bCs/>
          <w:sz w:val="32"/>
          <w:szCs w:val="32"/>
          <w:highlight w:val="none"/>
        </w:rPr>
        <w:t>（一）负责制定和完善单位内控制度。制定完善与项目经费管理有关的预算、支出、报销等财务规章制度。制定和公示绩效支出使用和分配制度。</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bCs/>
          <w:sz w:val="32"/>
          <w:szCs w:val="32"/>
          <w:highlight w:val="none"/>
        </w:rPr>
      </w:pPr>
      <w:r>
        <w:rPr>
          <w:rFonts w:ascii="仿宋_GB2312" w:hAnsi="仿宋_GB2312" w:eastAsia="仿宋_GB2312" w:cs="仿宋_GB2312"/>
          <w:bCs/>
          <w:sz w:val="32"/>
          <w:szCs w:val="32"/>
          <w:highlight w:val="none"/>
        </w:rPr>
        <w:t>（二）负责建立健全科研财务助理制度，确保每个项目配有相对固定的科研财务助理，为科研人员在预算编制和调剂、资金支出、财务决算和验收等方面提供专业化服务，减轻科研人员事务性负担。</w:t>
      </w:r>
      <w:r>
        <w:rPr>
          <w:rFonts w:hint="eastAsia" w:ascii="仿宋_GB2312" w:hAnsi="仿宋_GB2312" w:eastAsia="仿宋_GB2312" w:cs="仿宋_GB2312"/>
          <w:bCs/>
          <w:sz w:val="32"/>
          <w:szCs w:val="32"/>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ascii="仿宋_GB2312" w:hAnsi="仿宋_GB2312" w:eastAsia="仿宋_GB2312" w:cs="仿宋_GB2312"/>
          <w:bCs/>
          <w:sz w:val="32"/>
          <w:szCs w:val="32"/>
          <w:highlight w:val="none"/>
        </w:rPr>
        <w:t>（三）负责编制项目经费预算和决算，按照项目有关</w:t>
      </w:r>
      <w:r>
        <w:rPr>
          <w:rFonts w:hint="eastAsia" w:ascii="仿宋_GB2312" w:hAnsi="仿宋_GB2312" w:eastAsia="仿宋_GB2312" w:cs="仿宋_GB2312"/>
          <w:bCs/>
          <w:sz w:val="32"/>
          <w:szCs w:val="32"/>
          <w:highlight w:val="none"/>
          <w:lang w:eastAsia="zh-CN"/>
        </w:rPr>
        <w:t>配套</w:t>
      </w:r>
      <w:r>
        <w:rPr>
          <w:rFonts w:ascii="仿宋_GB2312" w:hAnsi="仿宋_GB2312" w:eastAsia="仿宋_GB2312" w:cs="仿宋_GB2312"/>
          <w:bCs/>
          <w:sz w:val="32"/>
          <w:szCs w:val="32"/>
          <w:highlight w:val="none"/>
        </w:rPr>
        <w:t>资金的约定，落实单位自筹资金及其他配套条件</w:t>
      </w:r>
      <w:r>
        <w:rPr>
          <w:rFonts w:hint="eastAsia" w:ascii="仿宋_GB2312" w:hAnsi="仿宋_GB2312" w:eastAsia="仿宋_GB2312" w:cs="仿宋_GB2312"/>
          <w:bCs/>
          <w:sz w:val="32"/>
          <w:szCs w:val="32"/>
          <w:highlight w:val="none"/>
        </w:rPr>
        <w:t>。</w:t>
      </w:r>
      <w:r>
        <w:rPr>
          <w:rFonts w:ascii="仿宋_GB2312" w:hAnsi="仿宋_GB2312" w:eastAsia="仿宋_GB2312" w:cs="仿宋_GB2312"/>
          <w:bCs/>
          <w:sz w:val="32"/>
          <w:szCs w:val="32"/>
          <w:highlight w:val="none"/>
        </w:rPr>
        <w:t>指导和监督项目参加单位规范资金管理及预算执行。</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ascii="仿宋_GB2312" w:hAnsi="仿宋_GB2312" w:eastAsia="仿宋_GB2312" w:cs="仿宋_GB2312"/>
          <w:bCs/>
          <w:sz w:val="32"/>
          <w:szCs w:val="32"/>
          <w:highlight w:val="none"/>
        </w:rPr>
        <w:t>（四）负责落实项目预算调剂、间接费用统筹使用、结余资金使用、科研仪器设备采购等管理工作。</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ascii="仿宋_GB2312" w:hAnsi="仿宋_GB2312" w:eastAsia="仿宋_GB2312" w:cs="仿宋_GB2312"/>
          <w:bCs/>
          <w:sz w:val="32"/>
          <w:szCs w:val="32"/>
          <w:highlight w:val="none"/>
        </w:rPr>
        <w:t>（五）负责在单位内部主动公开项目立项、主要研究人员、经费使用、大型仪器设备购置、研究成果、结余资金等，并接受内部监督。</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（六）改革和完善项目经费报销审批流程，解决报销繁和报销难问题。积极推行项目经费数字化、无纸化报销，进一步提高报账效率。</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（七）落实省财政厅、省科技厅相关工作要求。</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hint="eastAsia"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第三章  支出范围</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 w:hAnsi="仿宋" w:eastAsia="仿宋" w:cs="仿宋"/>
          <w:sz w:val="32"/>
          <w:szCs w:val="32"/>
          <w:highlight w:val="none"/>
        </w:rPr>
      </w:pPr>
      <w:r>
        <w:rPr>
          <w:rFonts w:hint="eastAsia" w:ascii="黑体" w:hAnsi="黑体" w:eastAsia="黑体" w:cs="黑体"/>
          <w:bCs/>
          <w:sz w:val="32"/>
          <w:szCs w:val="32"/>
          <w:highlight w:val="none"/>
        </w:rPr>
        <w:t>第十</w:t>
      </w:r>
      <w:r>
        <w:rPr>
          <w:rFonts w:hint="eastAsia" w:ascii="黑体" w:hAnsi="黑体" w:eastAsia="黑体" w:cs="黑体"/>
          <w:bCs/>
          <w:sz w:val="32"/>
          <w:szCs w:val="32"/>
          <w:highlight w:val="none"/>
          <w:lang w:eastAsia="zh-CN"/>
        </w:rPr>
        <w:t>一</w:t>
      </w:r>
      <w:r>
        <w:rPr>
          <w:rFonts w:hint="eastAsia" w:ascii="黑体" w:hAnsi="黑体" w:eastAsia="黑体" w:cs="黑体"/>
          <w:bCs/>
          <w:sz w:val="32"/>
          <w:szCs w:val="32"/>
          <w:highlight w:val="none"/>
        </w:rPr>
        <w:t>条</w:t>
      </w:r>
      <w:r>
        <w:rPr>
          <w:rFonts w:hint="eastAsia" w:ascii="楷体" w:hAnsi="楷体" w:eastAsia="楷体" w:cs="楷体"/>
          <w:sz w:val="32"/>
          <w:szCs w:val="32"/>
          <w:highlight w:val="none"/>
        </w:rPr>
        <w:t xml:space="preserve">  </w:t>
      </w:r>
      <w:r>
        <w:rPr>
          <w:rFonts w:hint="eastAsia" w:ascii="仿宋_GB2312" w:hAnsi="仿宋_GB2312" w:eastAsia="仿宋_GB2312" w:cs="仿宋_GB2312"/>
          <w:sz w:val="32"/>
          <w:szCs w:val="32"/>
          <w:highlight w:val="none"/>
        </w:rPr>
        <w:t>项目资金由直接费用和间接费用组成</w:t>
      </w:r>
      <w:r>
        <w:rPr>
          <w:rFonts w:hint="eastAsia" w:ascii="仿宋" w:hAnsi="仿宋" w:eastAsia="仿宋" w:cs="仿宋"/>
          <w:kern w:val="0"/>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 w:hAnsi="仿宋" w:eastAsia="仿宋" w:cs="仿宋"/>
          <w:color w:val="FF0000"/>
          <w:kern w:val="0"/>
          <w:sz w:val="32"/>
          <w:szCs w:val="32"/>
          <w:highlight w:val="none"/>
        </w:rPr>
      </w:pPr>
      <w:r>
        <w:rPr>
          <w:rFonts w:hint="eastAsia" w:ascii="黑体" w:hAnsi="黑体" w:eastAsia="黑体" w:cs="黑体"/>
          <w:bCs/>
          <w:sz w:val="32"/>
          <w:szCs w:val="32"/>
          <w:highlight w:val="none"/>
        </w:rPr>
        <w:t>第十</w:t>
      </w:r>
      <w:r>
        <w:rPr>
          <w:rFonts w:hint="eastAsia" w:ascii="黑体" w:hAnsi="黑体" w:eastAsia="黑体" w:cs="黑体"/>
          <w:bCs/>
          <w:sz w:val="32"/>
          <w:szCs w:val="32"/>
          <w:highlight w:val="none"/>
          <w:lang w:eastAsia="zh-CN"/>
        </w:rPr>
        <w:t>二</w:t>
      </w:r>
      <w:r>
        <w:rPr>
          <w:rFonts w:hint="eastAsia" w:ascii="黑体" w:hAnsi="黑体" w:eastAsia="黑体" w:cs="黑体"/>
          <w:bCs/>
          <w:sz w:val="32"/>
          <w:szCs w:val="32"/>
          <w:highlight w:val="none"/>
        </w:rPr>
        <w:t>条</w:t>
      </w:r>
      <w:r>
        <w:rPr>
          <w:rFonts w:hint="eastAsia" w:ascii="楷体" w:hAnsi="楷体" w:eastAsia="楷体" w:cs="楷体"/>
          <w:sz w:val="32"/>
          <w:szCs w:val="32"/>
          <w:highlight w:val="none"/>
        </w:rPr>
        <w:t xml:space="preserve">  </w:t>
      </w:r>
      <w:r>
        <w:rPr>
          <w:rFonts w:hint="eastAsia" w:ascii="仿宋_GB2312" w:hAnsi="仿宋_GB2312" w:eastAsia="仿宋_GB2312" w:cs="仿宋_GB2312"/>
          <w:sz w:val="32"/>
          <w:szCs w:val="32"/>
          <w:highlight w:val="none"/>
        </w:rPr>
        <w:t>直接费用是指在项目实施过程中发生的与之直接相关的费用。主要包括设备费、业务费、劳务费三大类</w:t>
      </w:r>
      <w:r>
        <w:rPr>
          <w:rFonts w:hint="eastAsia" w:ascii="仿宋" w:hAnsi="仿宋" w:eastAsia="仿宋" w:cs="仿宋"/>
          <w:color w:val="333333"/>
          <w:kern w:val="0"/>
          <w:sz w:val="32"/>
          <w:szCs w:val="32"/>
          <w:highlight w:val="none"/>
        </w:rPr>
        <w:t>。</w:t>
      </w:r>
      <w:r>
        <w:rPr>
          <w:rFonts w:hint="eastAsia" w:ascii="仿宋_GB2312" w:hAnsi="仿宋_GB2312" w:eastAsia="仿宋_GB2312" w:cs="仿宋_GB2312"/>
          <w:sz w:val="32"/>
          <w:szCs w:val="32"/>
          <w:highlight w:val="none"/>
        </w:rPr>
        <w:t>【落实32号文第一条】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 w:hAnsi="仿宋" w:eastAsia="仿宋" w:cs="仿宋"/>
          <w:kern w:val="0"/>
          <w:sz w:val="32"/>
          <w:szCs w:val="32"/>
          <w:highlight w:val="none"/>
          <w:lang w:bidi="ar"/>
        </w:rPr>
        <w:t>（</w:t>
      </w:r>
      <w:r>
        <w:rPr>
          <w:rFonts w:hint="eastAsia" w:ascii="仿宋_GB2312" w:hAnsi="仿宋_GB2312" w:eastAsia="仿宋_GB2312" w:cs="仿宋_GB2312"/>
          <w:sz w:val="32"/>
          <w:szCs w:val="32"/>
          <w:highlight w:val="none"/>
        </w:rPr>
        <w:t>一）设备费：是指在项目实施过程中购置或试制专用仪器设备，对现有仪器设备进行升级改造，以及租赁外单位仪器设备而发生的费用。计算机仪器设备和软件工具可在设备费科目列支。</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（二）业务费：是指在项目实施过程中消耗的各种材料、测试化验加工、燃料动力、档案/出版/文献/信息传播/知识产权事务、会议/差旅/国际合作交流等费用，以及其他相关支出。</w:t>
      </w:r>
      <w:r>
        <w:rPr>
          <w:rFonts w:ascii="仿宋_GB2312" w:hAnsi="仿宋_GB2312" w:eastAsia="仿宋_GB2312" w:cs="仿宋_GB2312"/>
          <w:sz w:val="32"/>
          <w:szCs w:val="32"/>
          <w:highlight w:val="none"/>
        </w:rPr>
        <w:t>从科研经费中列支</w:t>
      </w:r>
      <w:r>
        <w:rPr>
          <w:rFonts w:hint="eastAsia" w:ascii="仿宋_GB2312" w:hAnsi="仿宋_GB2312" w:eastAsia="仿宋_GB2312" w:cs="仿宋_GB2312"/>
          <w:sz w:val="32"/>
          <w:szCs w:val="32"/>
          <w:highlight w:val="none"/>
        </w:rPr>
        <w:t>会议费、</w:t>
      </w:r>
      <w:r>
        <w:rPr>
          <w:rFonts w:ascii="仿宋_GB2312" w:hAnsi="仿宋_GB2312" w:eastAsia="仿宋_GB2312" w:cs="仿宋_GB2312"/>
          <w:sz w:val="32"/>
          <w:szCs w:val="32"/>
          <w:highlight w:val="none"/>
        </w:rPr>
        <w:t>国际合作与交流费用不纳入“三公”经费统计范围，不受零增长要求限制。</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 w:hAnsi="仿宋" w:eastAsia="仿宋" w:cs="仿宋"/>
          <w:kern w:val="0"/>
          <w:sz w:val="32"/>
          <w:szCs w:val="32"/>
          <w:highlight w:val="none"/>
          <w:lang w:bidi="ar"/>
        </w:rPr>
      </w:pPr>
      <w:r>
        <w:rPr>
          <w:rFonts w:hint="eastAsia" w:ascii="仿宋_GB2312" w:hAnsi="仿宋_GB2312" w:eastAsia="仿宋_GB2312" w:cs="仿宋_GB2312"/>
          <w:sz w:val="32"/>
          <w:szCs w:val="32"/>
          <w:highlight w:val="none"/>
        </w:rPr>
        <w:t>（三）劳务费：是指在项目实施过程中支付给参与项目的研究生、博士后、访问学者和项目聘用的研究人员、科研辅助人员、科研（财务）助理等的劳务性费用；以及支付给临时聘请的咨询专家的费用等。项目聘用人员劳务费开支标准参照本单位同类在职人员薪酬水平自主确定，由单位承担的社会保险、住房公积金、职业年金纳入劳务费科目列支</w:t>
      </w:r>
      <w:bookmarkStart w:id="0" w:name="OLE_LINK5"/>
      <w:r>
        <w:rPr>
          <w:rFonts w:hint="eastAsia" w:ascii="仿宋_GB2312" w:hAnsi="仿宋_GB2312" w:eastAsia="仿宋_GB2312" w:cs="仿宋_GB2312"/>
          <w:sz w:val="32"/>
          <w:szCs w:val="32"/>
          <w:highlight w:val="none"/>
        </w:rPr>
        <w:t>【落实32号文第十</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条】</w:t>
      </w:r>
      <w:bookmarkEnd w:id="0"/>
      <w:r>
        <w:rPr>
          <w:rFonts w:hint="eastAsia" w:ascii="仿宋" w:hAnsi="仿宋" w:eastAsia="仿宋" w:cs="仿宋"/>
          <w:kern w:val="0"/>
          <w:sz w:val="32"/>
          <w:szCs w:val="32"/>
          <w:highlight w:val="none"/>
          <w:lang w:bidi="ar"/>
        </w:rPr>
        <w:t>。专</w:t>
      </w:r>
      <w:r>
        <w:rPr>
          <w:rFonts w:hint="eastAsia" w:ascii="仿宋_GB2312" w:hAnsi="仿宋_GB2312" w:eastAsia="仿宋_GB2312" w:cs="仿宋_GB2312"/>
          <w:sz w:val="32"/>
          <w:szCs w:val="32"/>
          <w:highlight w:val="none"/>
        </w:rPr>
        <w:t>家咨询费按规定标准支付，不得支付给参与本项目及所属课题研究和管理的相关工作人员</w:t>
      </w:r>
      <w:r>
        <w:rPr>
          <w:rFonts w:hint="eastAsia" w:ascii="仿宋" w:hAnsi="仿宋" w:eastAsia="仿宋" w:cs="仿宋"/>
          <w:kern w:val="0"/>
          <w:sz w:val="32"/>
          <w:szCs w:val="32"/>
          <w:highlight w:val="none"/>
          <w:lang w:bidi="ar"/>
        </w:rPr>
        <w:t>。</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 w:hAnsi="仿宋" w:eastAsia="仿宋" w:cs="仿宋"/>
          <w:kern w:val="0"/>
          <w:sz w:val="32"/>
          <w:szCs w:val="32"/>
          <w:highlight w:val="none"/>
          <w:lang w:bidi="ar"/>
        </w:rPr>
      </w:pPr>
      <w:r>
        <w:rPr>
          <w:rFonts w:hint="eastAsia" w:ascii="黑体" w:hAnsi="黑体" w:eastAsia="黑体" w:cs="黑体"/>
          <w:bCs/>
          <w:sz w:val="32"/>
          <w:szCs w:val="32"/>
          <w:highlight w:val="none"/>
        </w:rPr>
        <w:t>第十</w:t>
      </w:r>
      <w:r>
        <w:rPr>
          <w:rFonts w:hint="eastAsia" w:ascii="黑体" w:hAnsi="黑体" w:eastAsia="黑体" w:cs="黑体"/>
          <w:bCs/>
          <w:sz w:val="32"/>
          <w:szCs w:val="32"/>
          <w:highlight w:val="none"/>
          <w:lang w:eastAsia="zh-CN"/>
        </w:rPr>
        <w:t>三</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间接费用是指承担单位在组织实施项目过程中发生的无法在直接费用中列支的相关费用。主要包括：承担单位为项目研究提供的辅助条件及管理费用补助支出，以及激励科研人员的绩效支出等。选择部分重大项目试行项目工资制，探索对急需紧缺、业内认可、业绩突出的极少数高层次人才实行年薪制，所需费用可从间接</w:t>
      </w:r>
      <w:r>
        <w:rPr>
          <w:rFonts w:hint="eastAsia" w:ascii="仿宋_GB2312" w:hAnsi="仿宋_GB2312" w:eastAsia="仿宋_GB2312" w:cs="仿宋_GB2312"/>
          <w:sz w:val="32"/>
          <w:szCs w:val="32"/>
          <w:highlight w:val="none"/>
          <w:lang w:eastAsia="zh-CN"/>
        </w:rPr>
        <w:t>费</w:t>
      </w:r>
      <w:r>
        <w:rPr>
          <w:rFonts w:hint="eastAsia" w:ascii="仿宋_GB2312" w:hAnsi="仿宋_GB2312" w:eastAsia="仿宋_GB2312" w:cs="仿宋_GB2312"/>
          <w:sz w:val="32"/>
          <w:szCs w:val="32"/>
          <w:highlight w:val="none"/>
        </w:rPr>
        <w:t>中列支，按照一项一议原则确定间接费比例。【落实32号文第十条】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黑体" w:hAnsi="黑体" w:eastAsia="黑体" w:cs="黑体"/>
          <w:bCs/>
          <w:sz w:val="32"/>
          <w:szCs w:val="32"/>
          <w:highlight w:val="none"/>
        </w:rPr>
        <w:t>第十</w:t>
      </w:r>
      <w:r>
        <w:rPr>
          <w:rFonts w:hint="eastAsia" w:ascii="黑体" w:hAnsi="黑体" w:eastAsia="黑体" w:cs="黑体"/>
          <w:bCs/>
          <w:sz w:val="32"/>
          <w:szCs w:val="32"/>
          <w:highlight w:val="none"/>
          <w:lang w:eastAsia="zh-CN"/>
        </w:rPr>
        <w:t>四</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间接费用实行总额控制，按照不超过项目直接费用扣除设备费后的一定比例核定，</w:t>
      </w:r>
      <w:r>
        <w:rPr>
          <w:rFonts w:ascii="仿宋_GB2312" w:hAnsi="仿宋_GB2312" w:eastAsia="仿宋_GB2312" w:cs="仿宋_GB2312"/>
          <w:sz w:val="32"/>
          <w:szCs w:val="32"/>
          <w:highlight w:val="none"/>
        </w:rPr>
        <w:t>具体比例为：500万元及以下部分为不超过30%；超过500万元至1000万元的部分为不超过25%；超过1000万元以上的部分为不超过20%；对数学等纯理论基础研究项目，间接费用比例为不超过60%</w:t>
      </w:r>
      <w:r>
        <w:rPr>
          <w:rFonts w:hint="eastAsia" w:ascii="仿宋_GB2312" w:hAnsi="仿宋_GB2312" w:eastAsia="仿宋_GB2312" w:cs="仿宋_GB2312"/>
          <w:sz w:val="32"/>
          <w:szCs w:val="32"/>
          <w:highlight w:val="none"/>
        </w:rPr>
        <w:t>。【落实32号文第</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color w:val="auto"/>
          <w:spacing w:val="0"/>
          <w:sz w:val="32"/>
          <w:szCs w:val="32"/>
          <w:highlight w:val="none"/>
          <w:lang w:eastAsia="zh-CN"/>
        </w:rPr>
        <w:t>项目中有多个单位的，间接费用在总额范围内由项目承担单位与参加单位协商分配。承担单位不得在核定的间接费用以外，再以任何名义在项目资金中重复提取、列支相关费用。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rPr>
        <w:t>第十</w:t>
      </w:r>
      <w:r>
        <w:rPr>
          <w:rFonts w:hint="eastAsia" w:ascii="黑体" w:hAnsi="黑体" w:eastAsia="黑体" w:cs="黑体"/>
          <w:bCs/>
          <w:sz w:val="32"/>
          <w:szCs w:val="32"/>
          <w:highlight w:val="none"/>
          <w:lang w:eastAsia="zh-CN"/>
        </w:rPr>
        <w:t>五</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科技管理业务费是指科技部门开展与实施项目相关的研究、论证、招标、咨询、评估、评审、审计、监督、检查、培训等管理性工作所需的费用。科技管理业务费按照“分年核定、专款专用、勤俭节约、合理规范”的原则管理和使用。</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第四章 预算编制与审批</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第十</w:t>
      </w:r>
      <w:r>
        <w:rPr>
          <w:rFonts w:hint="eastAsia" w:ascii="黑体" w:hAnsi="黑体" w:eastAsia="黑体" w:cs="黑体"/>
          <w:bCs/>
          <w:sz w:val="32"/>
          <w:szCs w:val="32"/>
          <w:highlight w:val="none"/>
          <w:lang w:eastAsia="zh-CN"/>
        </w:rPr>
        <w:t>六</w:t>
      </w:r>
      <w:r>
        <w:rPr>
          <w:rFonts w:hint="eastAsia" w:ascii="黑体" w:hAnsi="黑体" w:eastAsia="黑体" w:cs="黑体"/>
          <w:bCs/>
          <w:sz w:val="32"/>
          <w:szCs w:val="32"/>
          <w:highlight w:val="none"/>
        </w:rPr>
        <w:t>条</w:t>
      </w:r>
      <w:r>
        <w:rPr>
          <w:rFonts w:hint="eastAsia" w:ascii="仿宋_GB2312" w:hAnsi="仿宋_GB2312" w:eastAsia="仿宋_GB2312" w:cs="仿宋_GB2312"/>
          <w:sz w:val="32"/>
          <w:szCs w:val="32"/>
          <w:highlight w:val="none"/>
        </w:rPr>
        <w:t xml:space="preserve">  项目预算编制包括资金预算编制和绩效目标编制。资金预算由收入预算和支出预算构成，应做到收支平衡。收入预算包括省级财政资金和其他来源资金。不得使用货币资金之外的资产或省级其他财政资金作为自筹资金来源。支出预算应当按照资金开支范围来源分别编列。项目绩效目标包含产出、效益、满意度三类三级指标，指标和指标值的设置应尽量细化、量化、可衡量，便于评价考核。</w:t>
      </w:r>
    </w:p>
    <w:p>
      <w:pPr>
        <w:keepNext w:val="0"/>
        <w:keepLines w:val="0"/>
        <w:pageBreakBefore w:val="0"/>
        <w:widowControl/>
        <w:numPr>
          <w:ilvl w:val="0"/>
          <w:numId w:val="0"/>
        </w:numPr>
        <w:kinsoku/>
        <w:wordWrap/>
        <w:overflowPunct/>
        <w:topLinePunct w:val="0"/>
        <w:autoSpaceDE/>
        <w:autoSpaceDN/>
        <w:bidi w:val="0"/>
        <w:adjustRightInd w:val="0"/>
        <w:snapToGrid w:val="0"/>
        <w:spacing w:line="590" w:lineRule="exact"/>
        <w:ind w:firstLine="640" w:firstLineChars="200"/>
        <w:textAlignment w:val="auto"/>
        <w:rPr>
          <w:rFonts w:hint="eastAsia"/>
          <w:sz w:val="32"/>
          <w:szCs w:val="32"/>
          <w:highlight w:val="none"/>
        </w:rPr>
      </w:pPr>
      <w:r>
        <w:rPr>
          <w:rFonts w:hint="eastAsia" w:ascii="黑体" w:hAnsi="黑体" w:eastAsia="黑体" w:cs="黑体"/>
          <w:bCs/>
          <w:sz w:val="32"/>
          <w:szCs w:val="32"/>
          <w:highlight w:val="none"/>
          <w:lang w:eastAsia="zh-CN"/>
        </w:rPr>
        <w:t>第十七条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项目承担单位及项目组</w:t>
      </w:r>
      <w:r>
        <w:rPr>
          <w:rFonts w:hint="eastAsia" w:ascii="仿宋_GB2312" w:hAnsi="仿宋_GB2312" w:eastAsia="仿宋_GB2312" w:cs="仿宋_GB2312"/>
          <w:sz w:val="32"/>
          <w:szCs w:val="32"/>
          <w:highlight w:val="none"/>
        </w:rPr>
        <w:t>应当按照政策相符性、目标相关性和经济合理性和任务完成的可行性原则，科学合理编制预算。直接费用按照设备费、业务费、劳务费三个类别填报，每个类别结合科研任务按支出用途进行说明。对仪器设备购置、参</w:t>
      </w:r>
      <w:r>
        <w:rPr>
          <w:rFonts w:hint="eastAsia" w:ascii="仿宋_GB2312" w:hAnsi="仿宋_GB2312" w:eastAsia="仿宋_GB2312" w:cs="仿宋_GB2312"/>
          <w:sz w:val="32"/>
          <w:szCs w:val="32"/>
          <w:highlight w:val="none"/>
          <w:lang w:eastAsia="zh-CN"/>
        </w:rPr>
        <w:t>加</w:t>
      </w:r>
      <w:r>
        <w:rPr>
          <w:rFonts w:hint="eastAsia" w:ascii="仿宋_GB2312" w:hAnsi="仿宋_GB2312" w:eastAsia="仿宋_GB2312" w:cs="仿宋_GB2312"/>
          <w:sz w:val="32"/>
          <w:szCs w:val="32"/>
          <w:highlight w:val="none"/>
        </w:rPr>
        <w:t>单位资质及拟外拨资金进行重点说明，并申明现有的实施条件和从单位外部可能获得的共享服务</w:t>
      </w:r>
      <w:r>
        <w:rPr>
          <w:rFonts w:hint="eastAsia" w:ascii="仿宋" w:hAnsi="仿宋" w:eastAsia="仿宋" w:cs="仿宋"/>
          <w:kern w:val="0"/>
          <w:sz w:val="32"/>
          <w:szCs w:val="32"/>
          <w:highlight w:val="none"/>
        </w:rPr>
        <w:t>。</w:t>
      </w:r>
      <w:r>
        <w:rPr>
          <w:rFonts w:hint="eastAsia" w:ascii="仿宋_GB2312" w:hAnsi="仿宋_GB2312" w:eastAsia="仿宋_GB2312" w:cs="仿宋_GB2312"/>
          <w:sz w:val="32"/>
          <w:szCs w:val="32"/>
          <w:highlight w:val="none"/>
        </w:rPr>
        <w:t>【落实32号文第一条】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 w:hAnsi="仿宋" w:eastAsia="仿宋" w:cs="仿宋"/>
          <w:kern w:val="0"/>
          <w:sz w:val="32"/>
          <w:szCs w:val="32"/>
          <w:highlight w:val="none"/>
        </w:rPr>
      </w:pPr>
      <w:r>
        <w:rPr>
          <w:rFonts w:hint="eastAsia" w:ascii="黑体" w:hAnsi="黑体" w:eastAsia="黑体" w:cs="黑体"/>
          <w:bCs/>
          <w:sz w:val="32"/>
          <w:szCs w:val="32"/>
          <w:highlight w:val="none"/>
        </w:rPr>
        <w:t>第十</w:t>
      </w:r>
      <w:r>
        <w:rPr>
          <w:rFonts w:hint="eastAsia" w:ascii="黑体" w:hAnsi="黑体" w:eastAsia="黑体" w:cs="黑体"/>
          <w:bCs/>
          <w:sz w:val="32"/>
          <w:szCs w:val="32"/>
          <w:highlight w:val="none"/>
          <w:lang w:eastAsia="zh-CN"/>
        </w:rPr>
        <w:t>八</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直接费用中除20万元以上的设备费外，其他费用只需提供基本测算说明，不需要提供明细。业务费预算编制时应提供各项分项费用预算，说明与项目任务的相关性。劳务费预算应据实编制，不设比例限制。间接费用只需编制简要的预算说明</w:t>
      </w:r>
      <w:r>
        <w:rPr>
          <w:rFonts w:hint="eastAsia" w:ascii="仿宋" w:hAnsi="仿宋" w:eastAsia="仿宋" w:cs="仿宋"/>
          <w:kern w:val="0"/>
          <w:sz w:val="32"/>
          <w:szCs w:val="32"/>
          <w:highlight w:val="none"/>
        </w:rPr>
        <w:t>。</w:t>
      </w:r>
      <w:r>
        <w:rPr>
          <w:rFonts w:hint="eastAsia" w:ascii="仿宋_GB2312" w:hAnsi="仿宋_GB2312" w:eastAsia="仿宋_GB2312" w:cs="仿宋_GB2312"/>
          <w:sz w:val="32"/>
          <w:szCs w:val="32"/>
          <w:highlight w:val="none"/>
        </w:rPr>
        <w:t>【落实32号文第一条】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第十</w:t>
      </w:r>
      <w:r>
        <w:rPr>
          <w:rFonts w:hint="eastAsia" w:ascii="黑体" w:hAnsi="黑体" w:eastAsia="黑体" w:cs="黑体"/>
          <w:bCs/>
          <w:sz w:val="32"/>
          <w:szCs w:val="32"/>
          <w:highlight w:val="none"/>
          <w:lang w:eastAsia="zh-CN"/>
        </w:rPr>
        <w:t>九</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bCs w:val="0"/>
          <w:sz w:val="32"/>
          <w:szCs w:val="32"/>
          <w:highlight w:val="none"/>
          <w:lang w:eastAsia="zh-CN"/>
        </w:rPr>
        <w:t>按固定金额</w:t>
      </w:r>
      <w:r>
        <w:rPr>
          <w:rFonts w:hint="eastAsia" w:ascii="仿宋_GB2312" w:hAnsi="仿宋_GB2312" w:eastAsia="仿宋_GB2312" w:cs="仿宋_GB2312"/>
          <w:sz w:val="32"/>
          <w:szCs w:val="32"/>
          <w:highlight w:val="none"/>
        </w:rPr>
        <w:t>补助项目不需编制预算，不开展预算评审。实行经费包干制人才类和基础研究类项目，可不编制预算。探索从事基础性、前沿性、公益性研究的独立法人科研机构开展经费包干制试点【落实32号文第</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条】</w:t>
      </w:r>
      <w:r>
        <w:rPr>
          <w:rFonts w:hint="eastAsia" w:ascii="宋体" w:hAnsi="宋体" w:cs="宋体"/>
          <w:color w:val="333333"/>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sz w:val="32"/>
          <w:szCs w:val="32"/>
          <w:highlight w:val="none"/>
        </w:rPr>
      </w:pPr>
      <w:r>
        <w:rPr>
          <w:rFonts w:hint="eastAsia" w:ascii="黑体" w:hAnsi="黑体" w:eastAsia="黑体" w:cs="黑体"/>
          <w:bCs/>
          <w:sz w:val="32"/>
          <w:szCs w:val="32"/>
          <w:highlight w:val="none"/>
        </w:rPr>
        <w:t>第二十条</w:t>
      </w:r>
      <w:r>
        <w:rPr>
          <w:rFonts w:hint="eastAsia" w:ascii="仿宋_GB2312" w:hAnsi="仿宋_GB2312" w:eastAsia="仿宋_GB2312" w:cs="仿宋_GB2312"/>
          <w:sz w:val="32"/>
          <w:szCs w:val="32"/>
          <w:highlight w:val="none"/>
        </w:rPr>
        <w:t xml:space="preserve">  项目预算评审包括资金预算、绩效目标评审，与项目技术评审“三和一”组织。项目资金预算评审应在考虑不同领域、不同规模、不同研究阶段、不同类型项目特点基础上，选择或组合运用合适的方法，不得简单按比例核减预算，同时应当建立健全与项目申报单位的沟通反馈机制【落实32号文第一条】</w:t>
      </w:r>
      <w:r>
        <w:rPr>
          <w:rFonts w:hint="eastAsia" w:ascii="宋体" w:hAnsi="宋体" w:cs="宋体"/>
          <w:color w:val="333333"/>
          <w:sz w:val="32"/>
          <w:szCs w:val="32"/>
          <w:highlight w:val="none"/>
        </w:rPr>
        <w:t>。</w:t>
      </w:r>
      <w:r>
        <w:rPr>
          <w:rFonts w:hint="eastAsia" w:ascii="仿宋_GB2312" w:hAnsi="仿宋_GB2312" w:eastAsia="仿宋_GB2312" w:cs="仿宋_GB2312"/>
          <w:sz w:val="32"/>
          <w:szCs w:val="32"/>
          <w:highlight w:val="none"/>
        </w:rPr>
        <w:t>项目绩效目标评审主要包括项目绩效目标完整性、相关性、适当性、可行性评审等四个部分的内容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绩效目标评审低于规定分数的项目不得安排预算。</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 w:hAnsi="仿宋" w:eastAsia="仿宋" w:cs="仿宋"/>
          <w:sz w:val="32"/>
          <w:szCs w:val="32"/>
          <w:highlight w:val="none"/>
        </w:rPr>
      </w:pPr>
      <w:r>
        <w:rPr>
          <w:rFonts w:hint="eastAsia" w:ascii="黑体" w:hAnsi="黑体" w:eastAsia="黑体" w:cs="黑体"/>
          <w:bCs/>
          <w:sz w:val="32"/>
          <w:szCs w:val="32"/>
          <w:highlight w:val="none"/>
        </w:rPr>
        <w:t>第二十</w:t>
      </w:r>
      <w:r>
        <w:rPr>
          <w:rFonts w:hint="eastAsia" w:ascii="黑体" w:hAnsi="黑体" w:eastAsia="黑体" w:cs="黑体"/>
          <w:bCs/>
          <w:sz w:val="32"/>
          <w:szCs w:val="32"/>
          <w:highlight w:val="none"/>
          <w:lang w:eastAsia="zh-CN"/>
        </w:rPr>
        <w:t>一</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省科技厅参考预算评审结果，按照内部决策程序研究确定项目经费支持额度，并按规范要求进行公示</w:t>
      </w:r>
      <w:r>
        <w:rPr>
          <w:rFonts w:hint="eastAsia" w:ascii="仿宋" w:hAnsi="仿宋" w:eastAsia="仿宋" w:cs="仿宋"/>
          <w:kern w:val="0"/>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rPr>
        <w:t>第二十</w:t>
      </w:r>
      <w:r>
        <w:rPr>
          <w:rFonts w:hint="eastAsia" w:ascii="黑体" w:hAnsi="黑体" w:eastAsia="黑体" w:cs="黑体"/>
          <w:bCs/>
          <w:sz w:val="32"/>
          <w:szCs w:val="32"/>
          <w:highlight w:val="none"/>
          <w:lang w:eastAsia="zh-CN"/>
        </w:rPr>
        <w:t>二</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省财政厅、省科技厅联合向项目承担单位下达项目经费预算。省科技厅（或其授权机构）与项目承担单位签订项目合同书（含预算）。项目合同书（含预算）是项目和课题预算执行、绩效评价和监督检查的依据。项目合同书（含预算）应突出绩效管理，明确项目考核目标、考核指标及考核方法，明晰各方责权，明确课题承担单位和参</w:t>
      </w:r>
      <w:r>
        <w:rPr>
          <w:rFonts w:hint="eastAsia" w:ascii="仿宋_GB2312" w:hAnsi="仿宋_GB2312" w:eastAsia="仿宋_GB2312" w:cs="仿宋_GB2312"/>
          <w:sz w:val="32"/>
          <w:szCs w:val="32"/>
          <w:highlight w:val="none"/>
          <w:lang w:eastAsia="zh-CN"/>
        </w:rPr>
        <w:t>加</w:t>
      </w:r>
      <w:r>
        <w:rPr>
          <w:rFonts w:hint="eastAsia" w:ascii="仿宋_GB2312" w:hAnsi="仿宋_GB2312" w:eastAsia="仿宋_GB2312" w:cs="仿宋_GB2312"/>
          <w:sz w:val="32"/>
          <w:szCs w:val="32"/>
          <w:highlight w:val="none"/>
        </w:rPr>
        <w:t>单位的资金额度，包括其他来源资金和其他配套条件等。</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第五章 预算执行与调剂</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 w:hAnsi="仿宋" w:eastAsia="仿宋" w:cs="仿宋"/>
          <w:kern w:val="0"/>
          <w:sz w:val="32"/>
          <w:szCs w:val="32"/>
          <w:highlight w:val="none"/>
        </w:rPr>
      </w:pPr>
      <w:r>
        <w:rPr>
          <w:rFonts w:hint="eastAsia" w:ascii="黑体" w:hAnsi="黑体" w:eastAsia="黑体" w:cs="黑体"/>
          <w:bCs/>
          <w:sz w:val="32"/>
          <w:szCs w:val="32"/>
          <w:highlight w:val="none"/>
        </w:rPr>
        <w:t xml:space="preserve">第二十三条  </w:t>
      </w:r>
      <w:r>
        <w:rPr>
          <w:rFonts w:hint="eastAsia" w:ascii="仿宋_GB2312" w:hAnsi="仿宋_GB2312" w:eastAsia="仿宋_GB2312" w:cs="仿宋_GB2312"/>
          <w:sz w:val="32"/>
          <w:szCs w:val="32"/>
          <w:highlight w:val="none"/>
        </w:rPr>
        <w:t>省科技厅根据不同类型项目特点、研究进度、资金需求等，合理制定经费拨付计划并正式函报</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财政厅拨付项目资金，省财政厅原则上在10个工作日内完成额度下达，由省科技厅转拨的非省级预算单位，在收到财政下达额度7个工作日内将项目经费拨付项目承担单位</w:t>
      </w:r>
      <w:r>
        <w:rPr>
          <w:rFonts w:hint="eastAsia" w:ascii="仿宋" w:hAnsi="仿宋" w:eastAsia="仿宋" w:cs="仿宋"/>
          <w:kern w:val="0"/>
          <w:sz w:val="32"/>
          <w:szCs w:val="32"/>
          <w:highlight w:val="none"/>
        </w:rPr>
        <w:t>。</w:t>
      </w:r>
      <w:r>
        <w:rPr>
          <w:rFonts w:hint="eastAsia" w:ascii="仿宋_GB2312" w:hAnsi="仿宋_GB2312" w:eastAsia="仿宋_GB2312" w:cs="仿宋_GB2312"/>
          <w:sz w:val="32"/>
          <w:szCs w:val="32"/>
          <w:highlight w:val="none"/>
        </w:rPr>
        <w:t>【落实32号文第</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 w:hAnsi="仿宋" w:eastAsia="仿宋" w:cs="仿宋"/>
          <w:kern w:val="0"/>
          <w:sz w:val="32"/>
          <w:szCs w:val="32"/>
          <w:highlight w:val="none"/>
        </w:rPr>
      </w:pPr>
      <w:r>
        <w:rPr>
          <w:rFonts w:hint="eastAsia" w:ascii="黑体" w:hAnsi="黑体" w:eastAsia="黑体" w:cs="黑体"/>
          <w:bCs/>
          <w:sz w:val="32"/>
          <w:szCs w:val="32"/>
          <w:highlight w:val="none"/>
        </w:rPr>
        <w:t>第二十</w:t>
      </w:r>
      <w:r>
        <w:rPr>
          <w:rFonts w:hint="eastAsia" w:ascii="黑体" w:hAnsi="黑体" w:eastAsia="黑体" w:cs="黑体"/>
          <w:bCs/>
          <w:sz w:val="32"/>
          <w:szCs w:val="32"/>
          <w:highlight w:val="none"/>
          <w:lang w:eastAsia="zh-CN"/>
        </w:rPr>
        <w:t>四</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eastAsia="zh-CN"/>
        </w:rPr>
        <w:t>指标下达</w:t>
      </w:r>
      <w:r>
        <w:rPr>
          <w:rFonts w:hint="eastAsia" w:ascii="仿宋_GB2312" w:hAnsi="仿宋_GB2312" w:eastAsia="仿宋_GB2312" w:cs="仿宋_GB2312"/>
          <w:sz w:val="32"/>
          <w:szCs w:val="32"/>
          <w:highlight w:val="none"/>
        </w:rPr>
        <w:t>环节，简化财政预算标准化管理平台经济分类科目填报，在资金使用环节，项目承担单位可根据科研需要在款级科目之间进行指标额度调剂，不需报主管部门和</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财政</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审批。</w:t>
      </w:r>
      <w:r>
        <w:rPr>
          <w:rFonts w:hint="eastAsia" w:ascii="仿宋" w:hAnsi="仿宋" w:eastAsia="仿宋" w:cs="仿宋"/>
          <w:kern w:val="0"/>
          <w:sz w:val="32"/>
          <w:szCs w:val="32"/>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黑体" w:hAnsi="黑体" w:eastAsia="黑体" w:cs="黑体"/>
          <w:bCs/>
          <w:sz w:val="32"/>
          <w:szCs w:val="32"/>
          <w:highlight w:val="none"/>
        </w:rPr>
        <w:t>第二十</w:t>
      </w:r>
      <w:r>
        <w:rPr>
          <w:rFonts w:hint="eastAsia" w:ascii="黑体" w:hAnsi="黑体" w:eastAsia="黑体" w:cs="黑体"/>
          <w:bCs/>
          <w:sz w:val="32"/>
          <w:szCs w:val="32"/>
          <w:highlight w:val="none"/>
          <w:lang w:eastAsia="zh-CN"/>
        </w:rPr>
        <w:t>五</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项目承担单位应当根据研究进度和资金使用情况，及时向项目参加单位（或课题承担单位）拨付资金，项目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课题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参加单位不得再向外转拨资金。</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Cs/>
          <w:sz w:val="32"/>
          <w:szCs w:val="32"/>
          <w:highlight w:val="none"/>
        </w:rPr>
        <w:t>第二十</w:t>
      </w:r>
      <w:r>
        <w:rPr>
          <w:rFonts w:hint="eastAsia" w:ascii="黑体" w:hAnsi="黑体" w:eastAsia="黑体" w:cs="黑体"/>
          <w:bCs/>
          <w:sz w:val="32"/>
          <w:szCs w:val="32"/>
          <w:highlight w:val="none"/>
          <w:lang w:eastAsia="zh-CN"/>
        </w:rPr>
        <w:t>六</w:t>
      </w:r>
      <w:r>
        <w:rPr>
          <w:rFonts w:hint="eastAsia" w:ascii="黑体" w:hAnsi="黑体" w:eastAsia="黑体" w:cs="黑体"/>
          <w:bCs/>
          <w:sz w:val="32"/>
          <w:szCs w:val="32"/>
          <w:highlight w:val="none"/>
        </w:rPr>
        <w:t xml:space="preserve">条 </w:t>
      </w:r>
      <w:r>
        <w:rPr>
          <w:rFonts w:hint="eastAsia" w:ascii="楷体" w:hAnsi="楷体" w:eastAsia="楷体" w:cs="楷体"/>
          <w:sz w:val="32"/>
          <w:szCs w:val="32"/>
          <w:highlight w:val="none"/>
        </w:rPr>
        <w:t xml:space="preserve"> </w:t>
      </w:r>
      <w:r>
        <w:rPr>
          <w:rFonts w:hint="eastAsia" w:ascii="仿宋_GB2312" w:hAnsi="仿宋_GB2312" w:eastAsia="仿宋_GB2312" w:cs="仿宋_GB2312"/>
          <w:sz w:val="32"/>
          <w:szCs w:val="32"/>
          <w:highlight w:val="none"/>
        </w:rPr>
        <w:t>实行部门预算批复前项目资金预拨制度。首笔资金拨付比例应尊重项目负责人意见，按照用款计划进度安排拨付金额，切实保障科研活动需要</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sz w:val="32"/>
          <w:szCs w:val="32"/>
          <w:highlight w:val="none"/>
        </w:rPr>
        <w:t>【落实32号文第</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 w:hAnsi="仿宋" w:eastAsia="仿宋" w:cs="仿宋"/>
          <w:kern w:val="0"/>
          <w:sz w:val="32"/>
          <w:szCs w:val="32"/>
          <w:highlight w:val="none"/>
        </w:rPr>
      </w:pPr>
      <w:r>
        <w:rPr>
          <w:rFonts w:hint="eastAsia" w:ascii="黑体" w:hAnsi="黑体" w:eastAsia="黑体" w:cs="黑体"/>
          <w:bCs/>
          <w:sz w:val="32"/>
          <w:szCs w:val="32"/>
          <w:highlight w:val="none"/>
        </w:rPr>
        <w:t>第二十</w:t>
      </w:r>
      <w:r>
        <w:rPr>
          <w:rFonts w:hint="eastAsia" w:ascii="黑体" w:hAnsi="黑体" w:eastAsia="黑体" w:cs="黑体"/>
          <w:bCs/>
          <w:sz w:val="32"/>
          <w:szCs w:val="32"/>
          <w:highlight w:val="none"/>
          <w:lang w:eastAsia="zh-CN"/>
        </w:rPr>
        <w:t>七</w:t>
      </w:r>
      <w:r>
        <w:rPr>
          <w:rFonts w:hint="eastAsia" w:ascii="黑体" w:hAnsi="黑体" w:eastAsia="黑体" w:cs="黑体"/>
          <w:bCs/>
          <w:sz w:val="32"/>
          <w:szCs w:val="32"/>
          <w:highlight w:val="none"/>
        </w:rPr>
        <w:t>条</w:t>
      </w:r>
      <w:r>
        <w:rPr>
          <w:rFonts w:hint="eastAsia" w:ascii="黑体" w:hAnsi="黑体" w:eastAsia="黑体" w:cs="黑体"/>
          <w:bCs/>
          <w:color w:val="92D050"/>
          <w:sz w:val="32"/>
          <w:szCs w:val="32"/>
          <w:highlight w:val="none"/>
        </w:rPr>
        <w:t xml:space="preserve">  </w:t>
      </w:r>
      <w:r>
        <w:rPr>
          <w:rFonts w:hint="eastAsia" w:ascii="仿宋_GB2312" w:hAnsi="仿宋_GB2312" w:eastAsia="仿宋_GB2312" w:cs="仿宋_GB2312"/>
          <w:sz w:val="32"/>
          <w:szCs w:val="32"/>
          <w:highlight w:val="none"/>
        </w:rPr>
        <w:t>设备采购。高校、科研院所、企业要优化和完善内部管理规定，简化科研仪器设备采购流程，对科研急需的设备和耗材采用特事特办、随到随办的采购机制，可不进行招标投标程序。</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财政</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要加快审批流程，项目承担单位依法向</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财政</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申请变更政府采购方式的，</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财政</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实行限时办结制度，对符合要求的申请项目，原则上自收到变更申请之日起5个工作日内办结。【落实32号文第</w:t>
      </w:r>
      <w:r>
        <w:rPr>
          <w:rFonts w:hint="eastAsia" w:ascii="仿宋_GB2312" w:hAnsi="仿宋_GB2312" w:eastAsia="仿宋_GB2312" w:cs="仿宋_GB2312"/>
          <w:sz w:val="32"/>
          <w:szCs w:val="32"/>
          <w:highlight w:val="none"/>
          <w:lang w:eastAsia="zh-CN"/>
        </w:rPr>
        <w:t>十六</w:t>
      </w:r>
      <w:r>
        <w:rPr>
          <w:rFonts w:hint="eastAsia" w:ascii="仿宋_GB2312" w:hAnsi="仿宋_GB2312" w:eastAsia="仿宋_GB2312" w:cs="仿宋_GB2312"/>
          <w:sz w:val="32"/>
          <w:szCs w:val="32"/>
          <w:highlight w:val="none"/>
        </w:rPr>
        <w:t>条】</w:t>
      </w:r>
      <w:r>
        <w:rPr>
          <w:rFonts w:hint="eastAsia" w:ascii="仿宋" w:hAnsi="仿宋" w:eastAsia="仿宋" w:cs="仿宋"/>
          <w:kern w:val="0"/>
          <w:sz w:val="32"/>
          <w:szCs w:val="32"/>
          <w:highlight w:val="none"/>
        </w:rPr>
        <w:t>。</w:t>
      </w:r>
    </w:p>
    <w:p>
      <w:pPr>
        <w:pStyle w:val="2"/>
        <w:keepNext w:val="0"/>
        <w:keepLines w:val="0"/>
        <w:pageBreakBefore w:val="0"/>
        <w:widowControl/>
        <w:kinsoku/>
        <w:wordWrap/>
        <w:overflowPunct/>
        <w:topLinePunct w:val="0"/>
        <w:autoSpaceDE/>
        <w:autoSpaceDN/>
        <w:bidi w:val="0"/>
        <w:adjustRightInd w:val="0"/>
        <w:snapToGrid w:val="0"/>
        <w:spacing w:line="590" w:lineRule="exact"/>
        <w:ind w:left="0" w:firstLine="640" w:firstLineChars="200"/>
        <w:textAlignment w:val="auto"/>
        <w:rPr>
          <w:rFonts w:hint="eastAsia" w:ascii="仿宋" w:hAnsi="仿宋" w:eastAsia="仿宋" w:cs="仿宋"/>
          <w:kern w:val="0"/>
          <w:sz w:val="32"/>
          <w:szCs w:val="32"/>
          <w:highlight w:val="none"/>
          <w:lang w:eastAsia="zh-CN"/>
        </w:rPr>
      </w:pPr>
      <w:r>
        <w:rPr>
          <w:rFonts w:hint="eastAsia" w:ascii="黑体" w:hAnsi="黑体" w:eastAsia="黑体" w:cs="黑体"/>
          <w:bCs/>
          <w:color w:val="auto"/>
          <w:spacing w:val="0"/>
          <w:sz w:val="32"/>
          <w:szCs w:val="32"/>
          <w:highlight w:val="none"/>
          <w:lang w:eastAsia="zh-CN"/>
        </w:rPr>
        <w:t xml:space="preserve">第二十八条 </w:t>
      </w:r>
      <w:r>
        <w:rPr>
          <w:rFonts w:hint="eastAsia" w:ascii="仿宋" w:hAnsi="仿宋" w:eastAsia="仿宋" w:cs="仿宋"/>
          <w:kern w:val="0"/>
          <w:sz w:val="32"/>
          <w:szCs w:val="32"/>
          <w:highlight w:val="none"/>
          <w:lang w:eastAsia="zh-CN"/>
        </w:rPr>
        <w:t xml:space="preserve"> </w:t>
      </w:r>
      <w:r>
        <w:rPr>
          <w:rFonts w:hint="eastAsia" w:ascii="仿宋_GB2312" w:hAnsi="仿宋_GB2312" w:eastAsia="仿宋_GB2312" w:cs="仿宋_GB2312"/>
          <w:color w:val="auto"/>
          <w:spacing w:val="0"/>
          <w:sz w:val="32"/>
          <w:szCs w:val="32"/>
          <w:highlight w:val="none"/>
          <w:lang w:eastAsia="zh-CN"/>
        </w:rPr>
        <w:t>间接费用由承担单位统筹安排使用。承担单位应当建立健全间接费用的内部管理办法，公开透明、合规合理使用间接费用，处理好分摊间接成本和对科研人员激励的关系。承担单位可将间接费用全部用于绩效支出，并向创新绩效突出的团队和个人倾斜。绩效支出安排应当与科研人员在项目工作中的实际贡献挂钩</w:t>
      </w:r>
      <w:r>
        <w:rPr>
          <w:rFonts w:hint="eastAsia" w:ascii="仿宋_GB2312" w:hAnsi="仿宋_GB2312" w:eastAsia="仿宋_GB2312" w:cs="仿宋_GB2312"/>
          <w:sz w:val="32"/>
          <w:szCs w:val="32"/>
          <w:highlight w:val="none"/>
        </w:rPr>
        <w:t>【落实32号文第</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条】</w:t>
      </w:r>
      <w:r>
        <w:rPr>
          <w:rFonts w:hint="eastAsia" w:ascii="仿宋" w:hAnsi="仿宋" w:eastAsia="仿宋" w:cs="仿宋"/>
          <w:kern w:val="0"/>
          <w:sz w:val="32"/>
          <w:szCs w:val="32"/>
          <w:highlight w:val="none"/>
          <w:lang w:eastAsia="zh-CN"/>
        </w:rPr>
        <w:t>。</w:t>
      </w:r>
      <w:r>
        <w:rPr>
          <w:rFonts w:hint="eastAsia" w:ascii="仿宋_GB2312" w:hAnsi="仿宋_GB2312" w:eastAsia="仿宋_GB2312" w:cs="仿宋_GB2312"/>
          <w:color w:val="auto"/>
          <w:spacing w:val="0"/>
          <w:sz w:val="32"/>
          <w:szCs w:val="32"/>
          <w:highlight w:val="none"/>
          <w:lang w:eastAsia="zh-CN"/>
        </w:rPr>
        <w:t>项目绩效支出需要调整绩效工资总量的，应向主管部门申报动态调整绩效工资水平，主管部门审批后报省人力资源社会保障厅、省财政厅备案。</w:t>
      </w:r>
      <w:r>
        <w:rPr>
          <w:rFonts w:hint="eastAsia" w:ascii="仿宋_GB2312" w:hAnsi="仿宋_GB2312" w:eastAsia="仿宋_GB2312" w:cs="仿宋_GB2312"/>
          <w:sz w:val="32"/>
          <w:szCs w:val="32"/>
          <w:highlight w:val="none"/>
        </w:rPr>
        <w:t>【落实32号文第</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w:t>
      </w:r>
      <w:r>
        <w:rPr>
          <w:rFonts w:hint="eastAsia" w:ascii="黑体" w:hAnsi="黑体" w:eastAsia="黑体" w:cs="黑体"/>
          <w:bCs/>
          <w:sz w:val="32"/>
          <w:szCs w:val="32"/>
          <w:highlight w:val="none"/>
          <w:lang w:eastAsia="zh-CN"/>
        </w:rPr>
        <w:t>二十九</w:t>
      </w:r>
      <w:r>
        <w:rPr>
          <w:rFonts w:hint="eastAsia" w:ascii="黑体" w:hAnsi="黑体" w:eastAsia="黑体" w:cs="黑体"/>
          <w:bCs/>
          <w:sz w:val="32"/>
          <w:szCs w:val="32"/>
          <w:highlight w:val="none"/>
        </w:rPr>
        <w:t>条</w:t>
      </w:r>
      <w:r>
        <w:rPr>
          <w:rFonts w:hint="eastAsia" w:ascii="仿宋_GB2312" w:hAnsi="仿宋_GB2312" w:eastAsia="仿宋_GB2312" w:cs="仿宋_GB2312"/>
          <w:sz w:val="32"/>
          <w:szCs w:val="32"/>
          <w:highlight w:val="none"/>
        </w:rPr>
        <w:t xml:space="preserve">  项目资金支出原则上通过公务卡或银行转账方式结算，除按规定可以使用现金支付的情况外，确需使用现金结算的应具体说明理由报单位审批后方可报销。</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第三十条</w:t>
      </w: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sz w:val="32"/>
          <w:szCs w:val="32"/>
          <w:highlight w:val="none"/>
        </w:rPr>
        <w:t>预算调剂。项目资金总预算变化、承担单位变更报省科技厅审</w:t>
      </w:r>
      <w:r>
        <w:rPr>
          <w:rFonts w:hint="eastAsia" w:ascii="仿宋_GB2312" w:hAnsi="仿宋_GB2312" w:eastAsia="仿宋_GB2312" w:cs="仿宋_GB2312"/>
          <w:sz w:val="32"/>
          <w:szCs w:val="32"/>
          <w:highlight w:val="none"/>
          <w:lang w:eastAsia="zh-CN"/>
        </w:rPr>
        <w:t>批</w:t>
      </w:r>
      <w:r>
        <w:rPr>
          <w:rFonts w:hint="eastAsia" w:ascii="仿宋_GB2312" w:hAnsi="仿宋_GB2312" w:eastAsia="仿宋_GB2312" w:cs="仿宋_GB2312"/>
          <w:sz w:val="32"/>
          <w:szCs w:val="32"/>
          <w:highlight w:val="none"/>
        </w:rPr>
        <w:t>，其他经费调剂审批权全部下放给项目承担单位和项目负责人，由项目负责人根据科研活动实际需要自主安排。</w:t>
      </w:r>
      <w:r>
        <w:rPr>
          <w:rFonts w:hint="eastAsia" w:ascii="仿宋_GB2312" w:hAnsi="仿宋_GB2312" w:eastAsia="仿宋_GB2312" w:cs="仿宋_GB2312"/>
          <w:sz w:val="32"/>
          <w:szCs w:val="32"/>
          <w:highlight w:val="none"/>
          <w:lang w:eastAsia="zh-CN"/>
        </w:rPr>
        <w:t>除有特殊规定外，</w:t>
      </w:r>
      <w:r>
        <w:rPr>
          <w:rFonts w:hint="eastAsia" w:ascii="仿宋_GB2312" w:hAnsi="仿宋_GB2312" w:eastAsia="仿宋_GB2312" w:cs="仿宋_GB2312"/>
          <w:sz w:val="32"/>
          <w:szCs w:val="32"/>
          <w:highlight w:val="none"/>
        </w:rPr>
        <w:t>项目间接费用预算总额不得调增，经项目承担单位与项目负责人协商一致后，可以调减用于直接费用。【落实32号文第</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第三十</w:t>
      </w:r>
      <w:r>
        <w:rPr>
          <w:rFonts w:hint="eastAsia" w:ascii="黑体" w:hAnsi="黑体" w:eastAsia="黑体" w:cs="黑体"/>
          <w:bCs/>
          <w:sz w:val="32"/>
          <w:szCs w:val="32"/>
          <w:highlight w:val="none"/>
          <w:lang w:eastAsia="zh-CN"/>
        </w:rPr>
        <w:t>一</w:t>
      </w:r>
      <w:r>
        <w:rPr>
          <w:rFonts w:hint="eastAsia" w:ascii="黑体" w:hAnsi="黑体" w:eastAsia="黑体" w:cs="黑体"/>
          <w:bCs/>
          <w:sz w:val="32"/>
          <w:szCs w:val="32"/>
          <w:highlight w:val="none"/>
        </w:rPr>
        <w:t>条</w:t>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sz w:val="32"/>
          <w:szCs w:val="32"/>
          <w:highlight w:val="none"/>
        </w:rPr>
        <w:t>项目承担单位、参加单位应加快财政科技资金的预算执行进度，提高资金使用效益。对项目资金预算执行进度考核不做硬性要求。</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第三十</w:t>
      </w:r>
      <w:r>
        <w:rPr>
          <w:rFonts w:hint="eastAsia" w:ascii="黑体" w:hAnsi="黑体" w:eastAsia="黑体" w:cs="黑体"/>
          <w:bCs/>
          <w:sz w:val="32"/>
          <w:szCs w:val="32"/>
          <w:highlight w:val="none"/>
          <w:lang w:eastAsia="zh-CN"/>
        </w:rPr>
        <w:t>二</w:t>
      </w:r>
      <w:r>
        <w:rPr>
          <w:rFonts w:hint="eastAsia" w:ascii="黑体" w:hAnsi="黑体" w:eastAsia="黑体" w:cs="黑体"/>
          <w:bCs/>
          <w:sz w:val="32"/>
          <w:szCs w:val="32"/>
          <w:highlight w:val="none"/>
        </w:rPr>
        <w:t>条</w:t>
      </w:r>
      <w:r>
        <w:rPr>
          <w:rFonts w:hint="eastAsia" w:ascii="仿宋_GB2312" w:hAnsi="仿宋_GB2312" w:eastAsia="仿宋_GB2312" w:cs="仿宋_GB2312"/>
          <w:sz w:val="32"/>
          <w:szCs w:val="32"/>
          <w:highlight w:val="none"/>
        </w:rPr>
        <w:t xml:space="preserve">  改进结余资金管理。项目实施期原则上不超过</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年，项目实施期内年度结余资金结转下一年度继续使用。项目完成任务目标并通过验收的，结余资金留归项目承担单位使用，用于科研活动直接支出。加强结余资金管理，健全结余资金盘活机制，加快资金使用进度</w:t>
      </w:r>
      <w:r>
        <w:rPr>
          <w:rFonts w:hint="eastAsia" w:ascii="仿宋_GB2312" w:hAnsi="仿宋_GB2312" w:eastAsia="仿宋_GB2312" w:cs="仿宋_GB2312"/>
          <w:sz w:val="32"/>
          <w:szCs w:val="32"/>
          <w:highlight w:val="none"/>
          <w:lang w:eastAsia="zh-CN"/>
        </w:rPr>
        <w:t>，结余资金与年度预算安排挂钩</w:t>
      </w:r>
      <w:r>
        <w:rPr>
          <w:rFonts w:hint="eastAsia" w:ascii="仿宋_GB2312" w:hAnsi="仿宋_GB2312" w:eastAsia="仿宋_GB2312" w:cs="仿宋_GB2312"/>
          <w:sz w:val="32"/>
          <w:szCs w:val="32"/>
          <w:highlight w:val="none"/>
        </w:rPr>
        <w:t>。项目终止实施、撤销、验收结论为结题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不通过</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承担单位</w:t>
      </w:r>
      <w:r>
        <w:rPr>
          <w:rFonts w:hint="eastAsia" w:ascii="仿宋_GB2312" w:hAnsi="仿宋_GB2312" w:eastAsia="仿宋_GB2312" w:cs="仿宋_GB2312"/>
          <w:sz w:val="32"/>
          <w:szCs w:val="32"/>
          <w:highlight w:val="none"/>
          <w:lang w:eastAsia="zh-CN"/>
        </w:rPr>
        <w:t>科技</w:t>
      </w:r>
      <w:r>
        <w:rPr>
          <w:rFonts w:hint="eastAsia" w:ascii="仿宋_GB2312" w:hAnsi="仿宋_GB2312" w:eastAsia="仿宋_GB2312" w:cs="仿宋_GB2312"/>
          <w:sz w:val="32"/>
          <w:szCs w:val="32"/>
          <w:highlight w:val="none"/>
        </w:rPr>
        <w:t>信用评价</w:t>
      </w:r>
      <w:r>
        <w:rPr>
          <w:rFonts w:hint="eastAsia" w:ascii="仿宋_GB2312" w:hAnsi="仿宋_GB2312" w:eastAsia="仿宋_GB2312" w:cs="仿宋_GB2312"/>
          <w:sz w:val="32"/>
          <w:szCs w:val="32"/>
          <w:highlight w:val="none"/>
          <w:lang w:eastAsia="zh-CN"/>
        </w:rPr>
        <w:t>不良</w:t>
      </w:r>
      <w:r>
        <w:rPr>
          <w:rFonts w:hint="eastAsia" w:ascii="仿宋_GB2312" w:hAnsi="仿宋_GB2312" w:eastAsia="仿宋_GB2312" w:cs="仿宋_GB2312"/>
          <w:sz w:val="32"/>
          <w:szCs w:val="32"/>
          <w:highlight w:val="none"/>
        </w:rPr>
        <w:t>的，结余资金按原渠道收回。【落实32号文第</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条】</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hint="eastAsia"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第六章 项目经费决算和验收</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hint="eastAsia"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第三十</w:t>
      </w:r>
      <w:r>
        <w:rPr>
          <w:rFonts w:hint="eastAsia" w:ascii="黑体" w:hAnsi="黑体" w:eastAsia="黑体" w:cs="黑体"/>
          <w:bCs/>
          <w:sz w:val="32"/>
          <w:szCs w:val="32"/>
          <w:highlight w:val="none"/>
          <w:lang w:eastAsia="zh-CN"/>
        </w:rPr>
        <w:t>三</w:t>
      </w:r>
      <w:r>
        <w:rPr>
          <w:rFonts w:hint="eastAsia" w:ascii="黑体" w:hAnsi="黑体" w:eastAsia="黑体" w:cs="黑体"/>
          <w:bCs/>
          <w:sz w:val="32"/>
          <w:szCs w:val="32"/>
          <w:highlight w:val="none"/>
        </w:rPr>
        <w:t>条</w:t>
      </w:r>
      <w:r>
        <w:rPr>
          <w:rFonts w:hint="eastAsia" w:ascii="仿宋_GB2312" w:hAnsi="仿宋_GB2312" w:eastAsia="仿宋_GB2312" w:cs="仿宋_GB2312"/>
          <w:sz w:val="32"/>
          <w:szCs w:val="32"/>
          <w:highlight w:val="none"/>
        </w:rPr>
        <w:t xml:space="preserve">  项目执行期满后，项目承担单位应当及时组织参加单位（课题承担单位）清理账目与资产，组织开展结题审计或按要求如实编制资金决算</w:t>
      </w:r>
      <w:r>
        <w:rPr>
          <w:rFonts w:hint="eastAsia" w:ascii="仿宋_GB2312" w:hAnsi="仿宋_GB2312" w:eastAsia="仿宋_GB2312" w:cs="仿宋_GB2312"/>
          <w:sz w:val="32"/>
          <w:szCs w:val="32"/>
          <w:highlight w:val="none"/>
          <w:lang w:eastAsia="zh-CN"/>
        </w:rPr>
        <w:t>报告</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第三十</w:t>
      </w:r>
      <w:r>
        <w:rPr>
          <w:rFonts w:hint="eastAsia" w:ascii="黑体" w:hAnsi="黑体" w:eastAsia="黑体" w:cs="黑体"/>
          <w:bCs/>
          <w:sz w:val="32"/>
          <w:szCs w:val="32"/>
          <w:highlight w:val="none"/>
          <w:lang w:eastAsia="zh-CN"/>
        </w:rPr>
        <w:t>四</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color w:val="FF0000"/>
          <w:sz w:val="32"/>
          <w:szCs w:val="32"/>
          <w:highlight w:val="none"/>
        </w:rPr>
        <w:t xml:space="preserve"> </w:t>
      </w:r>
      <w:r>
        <w:rPr>
          <w:rFonts w:hint="eastAsia" w:ascii="仿宋_GB2312" w:hAnsi="仿宋_GB2312" w:eastAsia="仿宋_GB2312" w:cs="仿宋_GB2312"/>
          <w:sz w:val="32"/>
          <w:szCs w:val="32"/>
          <w:highlight w:val="none"/>
        </w:rPr>
        <w:t>合并财务验收和技术验收，省财政支持经费达到限额以上项目，承担单位自主选择具有资质的第三方中介机构进行结题财务审计，</w:t>
      </w:r>
      <w:r>
        <w:rPr>
          <w:rFonts w:hint="eastAsia" w:ascii="仿宋_GB2312" w:hAnsi="仿宋_GB2312" w:eastAsia="仿宋_GB2312" w:cs="仿宋_GB2312"/>
          <w:sz w:val="32"/>
          <w:szCs w:val="32"/>
          <w:highlight w:val="none"/>
          <w:lang w:eastAsia="zh-CN"/>
        </w:rPr>
        <w:t>省科技厅根据需要组织审计和抽查</w:t>
      </w:r>
      <w:r>
        <w:rPr>
          <w:rFonts w:hint="eastAsia" w:ascii="仿宋_GB2312" w:hAnsi="仿宋_GB2312" w:eastAsia="仿宋_GB2312" w:cs="仿宋_GB2312"/>
          <w:sz w:val="32"/>
          <w:szCs w:val="32"/>
          <w:highlight w:val="none"/>
        </w:rPr>
        <w:t>。包干制、揭榜制以及省财政支持经费在限额以下</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项目按照相关规定可由项目资金决算报告作为结题依据，不</w:t>
      </w:r>
      <w:r>
        <w:rPr>
          <w:rFonts w:hint="eastAsia" w:ascii="仿宋_GB2312" w:hAnsi="仿宋_GB2312" w:eastAsia="仿宋_GB2312" w:cs="仿宋_GB2312"/>
          <w:sz w:val="32"/>
          <w:szCs w:val="32"/>
          <w:highlight w:val="none"/>
          <w:lang w:eastAsia="zh-CN"/>
        </w:rPr>
        <w:t>进行</w:t>
      </w:r>
      <w:r>
        <w:rPr>
          <w:rFonts w:hint="eastAsia" w:ascii="仿宋_GB2312" w:hAnsi="仿宋_GB2312" w:eastAsia="仿宋_GB2312" w:cs="仿宋_GB2312"/>
          <w:sz w:val="32"/>
          <w:szCs w:val="32"/>
          <w:highlight w:val="none"/>
        </w:rPr>
        <w:t>结题审计。【落实32号文第</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条】</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sz w:val="32"/>
          <w:szCs w:val="32"/>
          <w:highlight w:val="none"/>
        </w:rPr>
      </w:pPr>
      <w:r>
        <w:rPr>
          <w:rFonts w:hint="eastAsia" w:ascii="黑体" w:hAnsi="黑体" w:eastAsia="黑体" w:cs="黑体"/>
          <w:bCs/>
          <w:sz w:val="32"/>
          <w:szCs w:val="32"/>
          <w:highlight w:val="none"/>
        </w:rPr>
        <w:t>第</w:t>
      </w:r>
      <w:r>
        <w:rPr>
          <w:rFonts w:hint="eastAsia" w:ascii="黑体" w:hAnsi="黑体" w:eastAsia="黑体" w:cs="黑体"/>
          <w:bCs/>
          <w:sz w:val="32"/>
          <w:szCs w:val="32"/>
          <w:highlight w:val="none"/>
          <w:lang w:eastAsia="zh-CN"/>
        </w:rPr>
        <w:t>三十五</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项目实施过程中，行政事业单位使用省级财政资金形成的固定资产属于国有资产，应当按照国家有关国有资产管理的规定执行。企业使用省级财政资金形成的固定资产，按照《企业财务通则》等相关规章制度执行。财政科技经费形成的知识产权等无形资产的管理，按照国家有关规定执行。</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hint="eastAsia"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第七章 绩效与监督管理</w:t>
      </w:r>
    </w:p>
    <w:p>
      <w:pPr>
        <w:pStyle w:val="2"/>
        <w:keepNext w:val="0"/>
        <w:keepLines w:val="0"/>
        <w:pageBreakBefore w:val="0"/>
        <w:widowControl/>
        <w:kinsoku/>
        <w:wordWrap/>
        <w:overflowPunct/>
        <w:topLinePunct w:val="0"/>
        <w:autoSpaceDE/>
        <w:autoSpaceDN/>
        <w:bidi w:val="0"/>
        <w:adjustRightInd w:val="0"/>
        <w:snapToGrid w:val="0"/>
        <w:spacing w:line="590" w:lineRule="exact"/>
        <w:ind w:left="420" w:leftChars="200" w:firstLine="624" w:firstLineChars="200"/>
        <w:textAlignment w:val="auto"/>
        <w:rPr>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第三十</w:t>
      </w:r>
      <w:r>
        <w:rPr>
          <w:rFonts w:hint="eastAsia" w:ascii="黑体" w:hAnsi="黑体" w:eastAsia="黑体" w:cs="黑体"/>
          <w:bCs/>
          <w:sz w:val="32"/>
          <w:szCs w:val="32"/>
          <w:highlight w:val="none"/>
          <w:lang w:eastAsia="zh-CN"/>
        </w:rPr>
        <w:t>六</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项目资金实行</w:t>
      </w:r>
      <w:r>
        <w:rPr>
          <w:rFonts w:hint="eastAsia" w:ascii="仿宋_GB2312" w:hAnsi="仿宋_GB2312" w:eastAsia="仿宋_GB2312" w:cs="仿宋_GB2312"/>
          <w:sz w:val="32"/>
          <w:szCs w:val="32"/>
          <w:highlight w:val="none"/>
          <w:lang w:eastAsia="zh-CN"/>
        </w:rPr>
        <w:t>全程</w:t>
      </w:r>
      <w:r>
        <w:rPr>
          <w:rFonts w:hint="eastAsia" w:ascii="仿宋_GB2312" w:hAnsi="仿宋_GB2312" w:eastAsia="仿宋_GB2312" w:cs="仿宋_GB2312"/>
          <w:sz w:val="32"/>
          <w:szCs w:val="32"/>
          <w:highlight w:val="none"/>
        </w:rPr>
        <w:t>绩效管理，省科技厅、项目</w:t>
      </w:r>
      <w:r>
        <w:rPr>
          <w:rFonts w:hint="eastAsia" w:ascii="仿宋_GB2312" w:hAnsi="仿宋_GB2312" w:eastAsia="仿宋_GB2312" w:cs="仿宋_GB2312"/>
          <w:sz w:val="32"/>
          <w:szCs w:val="32"/>
          <w:highlight w:val="none"/>
          <w:lang w:eastAsia="zh-CN"/>
        </w:rPr>
        <w:t>承担</w:t>
      </w:r>
      <w:r>
        <w:rPr>
          <w:rFonts w:hint="eastAsia" w:ascii="仿宋_GB2312" w:hAnsi="仿宋_GB2312" w:eastAsia="仿宋_GB2312" w:cs="仿宋_GB2312"/>
          <w:sz w:val="32"/>
          <w:szCs w:val="32"/>
          <w:highlight w:val="none"/>
        </w:rPr>
        <w:t>单位按照各自职责，每年选取一定量的项目对支出预算执行进度和绩效目标实现程度开展“双监控”，确保绩效目标如期实现。绩效监控结果作为后续安排资金的重要依据。</w:t>
      </w:r>
    </w:p>
    <w:p>
      <w:pPr>
        <w:pStyle w:val="2"/>
        <w:keepNext w:val="0"/>
        <w:keepLines w:val="0"/>
        <w:pageBreakBefore w:val="0"/>
        <w:widowControl/>
        <w:kinsoku/>
        <w:wordWrap/>
        <w:overflowPunct/>
        <w:topLinePunct w:val="0"/>
        <w:autoSpaceDE/>
        <w:autoSpaceDN/>
        <w:bidi w:val="0"/>
        <w:adjustRightInd w:val="0"/>
        <w:snapToGrid w:val="0"/>
        <w:spacing w:line="590" w:lineRule="exact"/>
        <w:ind w:left="0" w:firstLine="624"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黑体" w:hAnsi="黑体" w:eastAsia="黑体" w:cs="黑体"/>
          <w:bCs/>
          <w:sz w:val="32"/>
          <w:szCs w:val="32"/>
          <w:highlight w:val="none"/>
          <w:lang w:eastAsia="zh-CN"/>
        </w:rPr>
        <w:t xml:space="preserve">第三十七条  </w:t>
      </w:r>
      <w:r>
        <w:rPr>
          <w:rFonts w:hint="eastAsia" w:ascii="仿宋_GB2312" w:hAnsi="仿宋_GB2312" w:eastAsia="仿宋_GB2312" w:cs="仿宋_GB2312"/>
          <w:color w:val="auto"/>
          <w:spacing w:val="0"/>
          <w:sz w:val="32"/>
          <w:szCs w:val="32"/>
          <w:highlight w:val="none"/>
          <w:lang w:eastAsia="zh-CN"/>
        </w:rPr>
        <w:t>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333333"/>
          <w:kern w:val="0"/>
          <w:sz w:val="32"/>
          <w:szCs w:val="32"/>
          <w:highlight w:val="none"/>
        </w:rPr>
      </w:pPr>
      <w:r>
        <w:rPr>
          <w:rFonts w:hint="eastAsia" w:ascii="黑体" w:hAnsi="黑体" w:eastAsia="黑体" w:cs="黑体"/>
          <w:bCs/>
          <w:sz w:val="32"/>
          <w:szCs w:val="32"/>
          <w:highlight w:val="none"/>
        </w:rPr>
        <w:t>第三十</w:t>
      </w:r>
      <w:r>
        <w:rPr>
          <w:rFonts w:hint="eastAsia" w:ascii="黑体" w:hAnsi="黑体" w:eastAsia="黑体" w:cs="黑体"/>
          <w:bCs/>
          <w:sz w:val="32"/>
          <w:szCs w:val="32"/>
          <w:highlight w:val="none"/>
          <w:lang w:eastAsia="zh-CN"/>
        </w:rPr>
        <w:t>八</w:t>
      </w:r>
      <w:r>
        <w:rPr>
          <w:rFonts w:hint="eastAsia" w:ascii="黑体" w:hAnsi="黑体" w:eastAsia="黑体" w:cs="黑体"/>
          <w:bCs/>
          <w:sz w:val="32"/>
          <w:szCs w:val="32"/>
          <w:highlight w:val="none"/>
        </w:rPr>
        <w:t>条</w:t>
      </w:r>
      <w:r>
        <w:rPr>
          <w:rFonts w:hint="eastAsia" w:ascii="仿宋_GB2312" w:hAnsi="仿宋_GB2312" w:eastAsia="仿宋_GB2312" w:cs="仿宋_GB2312"/>
          <w:sz w:val="32"/>
          <w:szCs w:val="32"/>
          <w:highlight w:val="none"/>
        </w:rPr>
        <w:t xml:space="preserve">  项目承担单位在项目资金管理和使用中，不得存在以下行为：（一）未对项目资金进行单独核算；（二）编报虚假预算、套取财政资金；（三）截留、挤占、挪用项目资金；（四）违反规定转拨、转移项目资金；（五）擅自变更项目承担主体；（六）提供虚假财务会计信息或票据，虚列支出，以表代账应付财务审计和检查；（七）虚假承诺配套资金；（八）发生设备购置、租赁，测试、化验、加工，对外合作等事项未签订相关合同或协议。</w:t>
      </w:r>
    </w:p>
    <w:p>
      <w:pPr>
        <w:pStyle w:val="1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kern w:val="2"/>
          <w:sz w:val="32"/>
          <w:szCs w:val="32"/>
          <w:highlight w:val="none"/>
        </w:rPr>
      </w:pPr>
      <w:r>
        <w:rPr>
          <w:rFonts w:hint="eastAsia" w:ascii="黑体" w:hAnsi="黑体" w:eastAsia="黑体" w:cs="黑体"/>
          <w:bCs/>
          <w:sz w:val="32"/>
          <w:szCs w:val="32"/>
          <w:highlight w:val="none"/>
        </w:rPr>
        <w:t>第</w:t>
      </w:r>
      <w:r>
        <w:rPr>
          <w:rFonts w:hint="eastAsia" w:ascii="黑体" w:hAnsi="黑体" w:eastAsia="黑体" w:cs="黑体"/>
          <w:bCs/>
          <w:sz w:val="32"/>
          <w:szCs w:val="32"/>
          <w:highlight w:val="none"/>
          <w:lang w:eastAsia="zh-CN"/>
        </w:rPr>
        <w:t>三</w:t>
      </w:r>
      <w:r>
        <w:rPr>
          <w:rFonts w:hint="eastAsia" w:ascii="黑体" w:hAnsi="黑体" w:eastAsia="黑体" w:cs="黑体"/>
          <w:bCs/>
          <w:sz w:val="32"/>
          <w:szCs w:val="32"/>
          <w:highlight w:val="none"/>
        </w:rPr>
        <w:t>十</w:t>
      </w:r>
      <w:r>
        <w:rPr>
          <w:rFonts w:hint="eastAsia" w:ascii="黑体" w:hAnsi="黑体" w:eastAsia="黑体" w:cs="黑体"/>
          <w:bCs/>
          <w:sz w:val="32"/>
          <w:szCs w:val="32"/>
          <w:highlight w:val="none"/>
          <w:lang w:eastAsia="zh-CN"/>
        </w:rPr>
        <w:t>九</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kern w:val="2"/>
          <w:sz w:val="32"/>
          <w:szCs w:val="32"/>
          <w:highlight w:val="none"/>
          <w:lang w:val="en-US" w:eastAsia="zh-CN" w:bidi="ar-SA"/>
        </w:rPr>
        <w:t>强化对失信和违规行为的惩戒。</w:t>
      </w:r>
      <w:r>
        <w:rPr>
          <w:rFonts w:hint="eastAsia" w:ascii="仿宋_GB2312" w:hAnsi="仿宋_GB2312" w:eastAsia="仿宋_GB2312" w:cs="仿宋_GB2312"/>
          <w:color w:val="333333"/>
          <w:sz w:val="32"/>
          <w:szCs w:val="32"/>
          <w:highlight w:val="none"/>
        </w:rPr>
        <w:t>对</w:t>
      </w:r>
      <w:r>
        <w:rPr>
          <w:rFonts w:hint="eastAsia" w:ascii="仿宋_GB2312" w:hAnsi="仿宋_GB2312" w:eastAsia="仿宋_GB2312" w:cs="仿宋_GB2312"/>
          <w:kern w:val="2"/>
          <w:sz w:val="32"/>
          <w:szCs w:val="32"/>
          <w:highlight w:val="none"/>
        </w:rPr>
        <w:t>项目承担单位和科研人员在科研经费管理使用过程中出现的失信情况，纳入信用记录管理，对严重失信行为实行追责和惩戒。</w:t>
      </w:r>
      <w:r>
        <w:rPr>
          <w:rFonts w:ascii="仿宋_GB2312" w:hAnsi="仿宋_GB2312" w:eastAsia="仿宋_GB2312" w:cs="仿宋_GB2312"/>
          <w:kern w:val="2"/>
          <w:sz w:val="32"/>
          <w:szCs w:val="32"/>
          <w:highlight w:val="none"/>
        </w:rPr>
        <w:t>对于违反财经法律法规的行为，按照《财政违法行为处罚处分条例》及其他相关法律法规处理、处罚，涉嫌犯罪的，移交司法机关依法处理。建立责任倒查制度，针对出现的问题倒查项目主管部门相关人员的履职尽责和廉洁自律情况，经查存在问题的依法依规严肃处理。</w:t>
      </w:r>
    </w:p>
    <w:p>
      <w:pPr>
        <w:pStyle w:val="1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sz w:val="32"/>
          <w:szCs w:val="32"/>
          <w:highlight w:val="none"/>
        </w:rPr>
      </w:pPr>
      <w:r>
        <w:rPr>
          <w:rFonts w:hint="eastAsia" w:ascii="黑体" w:hAnsi="黑体" w:eastAsia="黑体" w:cs="黑体"/>
          <w:bCs/>
          <w:sz w:val="32"/>
          <w:szCs w:val="32"/>
          <w:highlight w:val="none"/>
        </w:rPr>
        <w:t xml:space="preserve">第四十条 </w:t>
      </w:r>
      <w:r>
        <w:rPr>
          <w:rFonts w:hint="eastAsia" w:ascii="仿宋_GB2312" w:hAnsi="仿宋_GB2312" w:eastAsia="仿宋_GB2312" w:cs="仿宋_GB2312"/>
          <w:sz w:val="32"/>
          <w:szCs w:val="32"/>
          <w:highlight w:val="none"/>
        </w:rPr>
        <w:t>完善项目资金管理使用正</w:t>
      </w:r>
      <w:r>
        <w:rPr>
          <w:rFonts w:hint="eastAsia" w:ascii="仿宋_GB2312" w:hAnsi="仿宋_GB2312" w:eastAsia="仿宋_GB2312" w:cs="仿宋_GB2312"/>
          <w:kern w:val="2"/>
          <w:sz w:val="32"/>
          <w:szCs w:val="32"/>
          <w:highlight w:val="none"/>
        </w:rPr>
        <w:t>负面清单，明确项目经费使用禁止性行为，有关部门要根据法律法规和负面清单进行检查、评审、验收、审计，对尽职无过错科研人员免予问责。</w:t>
      </w:r>
      <w:r>
        <w:rPr>
          <w:rFonts w:hint="eastAsia" w:ascii="仿宋_GB2312" w:hAnsi="仿宋_GB2312" w:eastAsia="仿宋_GB2312" w:cs="仿宋_GB2312"/>
          <w:sz w:val="32"/>
          <w:szCs w:val="32"/>
          <w:highlight w:val="none"/>
        </w:rPr>
        <w:t>【落实32号文第</w:t>
      </w:r>
      <w:r>
        <w:rPr>
          <w:rFonts w:hint="eastAsia" w:ascii="仿宋_GB2312" w:hAnsi="仿宋_GB2312" w:eastAsia="仿宋_GB2312" w:cs="仿宋_GB2312"/>
          <w:sz w:val="32"/>
          <w:szCs w:val="32"/>
          <w:highlight w:val="none"/>
          <w:lang w:eastAsia="zh-CN"/>
        </w:rPr>
        <w:t>二十二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kern w:val="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Cs/>
          <w:sz w:val="32"/>
          <w:szCs w:val="32"/>
          <w:highlight w:val="none"/>
        </w:rPr>
        <w:t>第四十</w:t>
      </w:r>
      <w:r>
        <w:rPr>
          <w:rFonts w:hint="eastAsia" w:ascii="黑体" w:hAnsi="黑体" w:eastAsia="黑体" w:cs="黑体"/>
          <w:bCs/>
          <w:sz w:val="32"/>
          <w:szCs w:val="32"/>
          <w:highlight w:val="none"/>
          <w:lang w:eastAsia="zh-CN"/>
        </w:rPr>
        <w:t>一</w:t>
      </w:r>
      <w:r>
        <w:rPr>
          <w:rFonts w:hint="eastAsia" w:ascii="黑体" w:hAnsi="黑体" w:eastAsia="黑体" w:cs="黑体"/>
          <w:bCs/>
          <w:sz w:val="32"/>
          <w:szCs w:val="32"/>
          <w:highlight w:val="none"/>
        </w:rPr>
        <w:t xml:space="preserve">条 </w:t>
      </w:r>
      <w:r>
        <w:rPr>
          <w:rFonts w:hint="eastAsia" w:ascii="仿宋_GB2312" w:hAnsi="仿宋_GB2312" w:eastAsia="仿宋_GB2312" w:cs="仿宋_GB2312"/>
          <w:sz w:val="32"/>
          <w:szCs w:val="32"/>
          <w:highlight w:val="none"/>
        </w:rPr>
        <w:t>建立项目年度执行情况报告制度，项目承担单位应当在每年的4月20日前，审核项目上年度收支和项目执行情况，汇总形成书面报告报送省科技厅，报告内容主要包括项目执行进度、资金预算执行情况、取得的成效及存在问题等。</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第八章  附   则</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ascii="Times New Roman" w:hAnsi="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rPr>
        <w:t>第四</w:t>
      </w:r>
      <w:r>
        <w:rPr>
          <w:rFonts w:hint="eastAsia" w:ascii="仿宋_GB2312" w:hAnsi="仿宋_GB2312" w:eastAsia="仿宋_GB2312" w:cs="仿宋_GB2312"/>
          <w:b/>
          <w:sz w:val="32"/>
          <w:szCs w:val="32"/>
          <w:highlight w:val="none"/>
        </w:rPr>
        <w:t>十</w:t>
      </w:r>
      <w:r>
        <w:rPr>
          <w:rFonts w:hint="eastAsia" w:ascii="黑体" w:hAnsi="黑体" w:eastAsia="黑体" w:cs="黑体"/>
          <w:bCs/>
          <w:sz w:val="32"/>
          <w:szCs w:val="32"/>
          <w:highlight w:val="none"/>
          <w:lang w:eastAsia="zh-CN"/>
        </w:rPr>
        <w:t>二</w:t>
      </w:r>
      <w:r>
        <w:rPr>
          <w:rFonts w:hint="eastAsia" w:ascii="黑体" w:hAnsi="黑体" w:eastAsia="黑体" w:cs="黑体"/>
          <w:bCs/>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hAnsi="仿宋_GB2312" w:eastAsia="仿宋_GB2312" w:cs="仿宋_GB2312"/>
          <w:sz w:val="32"/>
          <w:szCs w:val="32"/>
          <w:highlight w:val="none"/>
        </w:rPr>
        <w:t>科技计划项目的申报、立项、实施、管理、验收等按照云南省科技计划项目管理办法相关规定执行。</w:t>
      </w:r>
    </w:p>
    <w:p>
      <w:pPr>
        <w:keepNext w:val="0"/>
        <w:keepLines w:val="0"/>
        <w:kinsoku/>
        <w:wordWrap/>
        <w:overflowPunct/>
        <w:topLinePunct w:val="0"/>
        <w:bidi w:val="0"/>
        <w:spacing w:line="590" w:lineRule="exact"/>
        <w:ind w:firstLine="640" w:firstLineChars="200"/>
        <w:rPr>
          <w:rFonts w:ascii="仿宋_GB2312" w:hAnsi="仿宋_GB2312" w:eastAsia="仿宋_GB2312" w:cs="仿宋_GB2312"/>
          <w:sz w:val="32"/>
          <w:szCs w:val="32"/>
          <w:highlight w:val="none"/>
          <w:lang w:eastAsia="zh-CN"/>
        </w:rPr>
      </w:pPr>
      <w:r>
        <w:rPr>
          <w:rFonts w:hint="eastAsia" w:ascii="黑体" w:hAnsi="黑体" w:eastAsia="黑体" w:cs="黑体"/>
          <w:bCs/>
          <w:sz w:val="32"/>
          <w:szCs w:val="32"/>
          <w:highlight w:val="none"/>
        </w:rPr>
        <w:t>第四十</w:t>
      </w:r>
      <w:r>
        <w:rPr>
          <w:rFonts w:hint="eastAsia" w:ascii="黑体" w:hAnsi="黑体" w:eastAsia="黑体" w:cs="黑体"/>
          <w:bCs/>
          <w:sz w:val="32"/>
          <w:szCs w:val="32"/>
          <w:highlight w:val="none"/>
          <w:lang w:eastAsia="zh-CN"/>
        </w:rPr>
        <w:t>三</w:t>
      </w:r>
      <w:r>
        <w:rPr>
          <w:rFonts w:hint="eastAsia" w:ascii="黑体" w:hAnsi="黑体" w:eastAsia="黑体" w:cs="黑体"/>
          <w:bCs/>
          <w:sz w:val="32"/>
          <w:szCs w:val="32"/>
          <w:highlight w:val="none"/>
        </w:rPr>
        <w:t>条</w:t>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sz w:val="32"/>
          <w:szCs w:val="32"/>
          <w:highlight w:val="none"/>
        </w:rPr>
        <w:t xml:space="preserve">本办法由省财政厅、省科技厅负责解释。  </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kern w:val="2"/>
          <w:sz w:val="32"/>
          <w:szCs w:val="32"/>
          <w:highlight w:val="none"/>
        </w:rPr>
      </w:pPr>
      <w:r>
        <w:rPr>
          <w:rFonts w:hint="eastAsia" w:ascii="黑体" w:hAnsi="黑体" w:eastAsia="黑体" w:cs="黑体"/>
          <w:bCs/>
          <w:sz w:val="32"/>
          <w:szCs w:val="32"/>
          <w:highlight w:val="none"/>
        </w:rPr>
        <w:t>第四十</w:t>
      </w:r>
      <w:r>
        <w:rPr>
          <w:rFonts w:hint="eastAsia" w:ascii="黑体" w:hAnsi="黑体" w:eastAsia="黑体" w:cs="黑体"/>
          <w:bCs/>
          <w:sz w:val="32"/>
          <w:szCs w:val="32"/>
          <w:highlight w:val="none"/>
          <w:lang w:eastAsia="zh-CN"/>
        </w:rPr>
        <w:t>四</w:t>
      </w:r>
      <w:r>
        <w:rPr>
          <w:rFonts w:hint="eastAsia" w:ascii="黑体" w:hAnsi="黑体" w:eastAsia="黑体" w:cs="黑体"/>
          <w:bCs/>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kern w:val="2"/>
          <w:sz w:val="32"/>
          <w:szCs w:val="32"/>
          <w:highlight w:val="none"/>
        </w:rPr>
        <w:t>本办法自2021年XX月XX日起施行，有效期至2025年12月9日。《云南省科技计划项目资金管理办法（试行）》（云财教〔2020〕5号）同时废止。新旧办法衔接要求</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rPr>
        <w:t>本办法发布时，项目执行期已结束、进入验收环节的项目，按照原办法执行；在研项目由项目承担单位自主确定执行旧办法或新办法；新立项目按照新办法执行。</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附件：1.科技计划项目资金预算编制说明</w:t>
      </w:r>
    </w:p>
    <w:p>
      <w:pPr>
        <w:keepNext w:val="0"/>
        <w:keepLines w:val="0"/>
        <w:pageBreakBefore w:val="0"/>
        <w:widowControl/>
        <w:kinsoku/>
        <w:wordWrap/>
        <w:overflowPunct/>
        <w:topLinePunct w:val="0"/>
        <w:autoSpaceDE/>
        <w:autoSpaceDN/>
        <w:bidi w:val="0"/>
        <w:adjustRightInd w:val="0"/>
        <w:snapToGrid w:val="0"/>
        <w:spacing w:line="590" w:lineRule="exact"/>
        <w:ind w:firstLine="1600" w:firstLineChars="5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2.科技计划项目资金预算编制提纲</w:t>
      </w:r>
    </w:p>
    <w:p>
      <w:pPr>
        <w:pStyle w:val="2"/>
        <w:keepNext w:val="0"/>
        <w:keepLines w:val="0"/>
        <w:pageBreakBefore w:val="0"/>
        <w:widowControl/>
        <w:kinsoku/>
        <w:wordWrap/>
        <w:overflowPunct/>
        <w:topLinePunct w:val="0"/>
        <w:autoSpaceDE/>
        <w:autoSpaceDN/>
        <w:bidi w:val="0"/>
        <w:adjustRightInd w:val="0"/>
        <w:snapToGrid w:val="0"/>
        <w:spacing w:line="59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 xml:space="preserve">    </w:t>
      </w:r>
      <w:r>
        <w:rPr>
          <w:rFonts w:hint="eastAsia" w:ascii="仿宋_GB2312" w:hAnsi="仿宋_GB2312" w:eastAsia="仿宋_GB2312" w:cs="仿宋_GB2312"/>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eastAsia="zh-CN"/>
        </w:rPr>
        <w:t>3.配套资金承诺书（范本）</w:t>
      </w:r>
    </w:p>
    <w:p>
      <w:pPr>
        <w:pStyle w:val="2"/>
        <w:keepNext w:val="0"/>
        <w:keepLines w:val="0"/>
        <w:pageBreakBefore w:val="0"/>
        <w:widowControl/>
        <w:kinsoku/>
        <w:wordWrap/>
        <w:overflowPunct/>
        <w:topLinePunct w:val="0"/>
        <w:autoSpaceDE/>
        <w:autoSpaceDN/>
        <w:bidi w:val="0"/>
        <w:adjustRightInd w:val="0"/>
        <w:snapToGrid w:val="0"/>
        <w:spacing w:line="590" w:lineRule="exact"/>
        <w:ind w:left="0" w:firstLine="624" w:firstLineChars="200"/>
        <w:textAlignment w:val="auto"/>
        <w:rPr>
          <w:rFonts w:hint="eastAsia" w:ascii="仿宋_GB2312" w:hAnsi="仿宋_GB2312" w:eastAsia="仿宋_GB2312" w:cs="仿宋_GB2312"/>
          <w:color w:val="FF0000"/>
          <w:sz w:val="32"/>
          <w:szCs w:val="32"/>
          <w:highlight w:val="none"/>
          <w:lang w:eastAsia="zh-CN"/>
        </w:rPr>
      </w:pPr>
    </w:p>
    <w:p>
      <w:pPr>
        <w:pStyle w:val="2"/>
        <w:keepNext w:val="0"/>
        <w:keepLines w:val="0"/>
        <w:pageBreakBefore w:val="0"/>
        <w:widowControl/>
        <w:kinsoku/>
        <w:wordWrap/>
        <w:overflowPunct/>
        <w:topLinePunct w:val="0"/>
        <w:autoSpaceDE/>
        <w:autoSpaceDN/>
        <w:bidi w:val="0"/>
        <w:adjustRightInd w:val="0"/>
        <w:snapToGrid w:val="0"/>
        <w:spacing w:line="590" w:lineRule="exact"/>
        <w:ind w:left="0" w:firstLine="624" w:firstLineChars="200"/>
        <w:textAlignment w:val="auto"/>
        <w:rPr>
          <w:rFonts w:ascii="仿宋_GB2312" w:hAnsi="仿宋_GB2312" w:eastAsia="仿宋_GB2312" w:cs="仿宋_GB2312"/>
          <w:color w:val="FF0000"/>
          <w:sz w:val="32"/>
          <w:szCs w:val="32"/>
          <w:highlight w:val="none"/>
          <w:lang w:eastAsia="zh-CN"/>
        </w:rPr>
      </w:pPr>
    </w:p>
    <w:p>
      <w:pPr>
        <w:keepNext w:val="0"/>
        <w:keepLines w:val="0"/>
        <w:pageBreakBefore/>
        <w:widowControl/>
        <w:kinsoku/>
        <w:wordWrap/>
        <w:overflowPunct/>
        <w:topLinePunct w:val="0"/>
        <w:autoSpaceDE/>
        <w:autoSpaceDN/>
        <w:bidi w:val="0"/>
        <w:adjustRightInd w:val="0"/>
        <w:snapToGrid w:val="0"/>
        <w:spacing w:line="590" w:lineRule="exact"/>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附件1</w:t>
      </w:r>
    </w:p>
    <w:p>
      <w:pPr>
        <w:pStyle w:val="2"/>
        <w:keepNext w:val="0"/>
        <w:keepLines w:val="0"/>
        <w:kinsoku/>
        <w:wordWrap/>
        <w:overflowPunct/>
        <w:topLinePunct w:val="0"/>
        <w:bidi w:val="0"/>
        <w:spacing w:line="590" w:lineRule="exact"/>
        <w:rPr>
          <w:rFonts w:hint="eastAsia"/>
          <w:highlight w:val="none"/>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44"/>
          <w:szCs w:val="44"/>
          <w:highlight w:val="none"/>
        </w:rPr>
        <w:t>科技计划项目资金预算编制说明</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一、直接费用。是指在项目实施过程中发生的与之直接相关的费用。主要包括：设备费、业务费、劳务费三大类。</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（一）设备费：是指在项目实施过程中购置或试制专用仪器设备，对现有仪器设备进行升级改造，以及租赁外单位仪器设备而发生的费用。计算机仪器设备和软件工具可在设备费科目列支。</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（二）业务费：是指在项目实施过程发生的材料费、燃料动力费、测试化验加工费、差旅费/会议费/国际合作交流费、</w:t>
      </w:r>
      <w:r>
        <w:rPr>
          <w:rFonts w:hint="eastAsia" w:ascii="仿宋_GB2312" w:hAnsi="仿宋_GB2312" w:eastAsia="仿宋_GB2312" w:cs="仿宋_GB2312"/>
          <w:sz w:val="32"/>
          <w:szCs w:val="32"/>
          <w:highlight w:val="none"/>
          <w:lang w:eastAsia="zh-CN"/>
        </w:rPr>
        <w:t>档案</w:t>
      </w:r>
      <w:r>
        <w:rPr>
          <w:rFonts w:hint="eastAsia" w:ascii="仿宋_GB2312" w:hAnsi="仿宋_GB2312" w:eastAsia="仿宋_GB2312" w:cs="仿宋_GB2312"/>
          <w:sz w:val="32"/>
          <w:szCs w:val="32"/>
          <w:highlight w:val="none"/>
        </w:rPr>
        <w:t>/出版/文献/信息传播/知识产权事务费及其他相关支出。</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1.材料费。指在项目研究开发过程中消耗的各种原材料、辅助材料、低值易耗品的采购及发生的运输、装卸、整理等费用。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2.燃料动力费。指在项目研究开发过程中相关仪器设备、专用科学装置等运行发生的水、电、气、燃料消耗等费用。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3.测试化验加工费。</w:t>
      </w:r>
      <w:r>
        <w:rPr>
          <w:rFonts w:ascii="仿宋_GB2312" w:hAnsi="仿宋_GB2312" w:eastAsia="仿宋_GB2312" w:cs="仿宋_GB2312"/>
          <w:sz w:val="32"/>
          <w:szCs w:val="32"/>
          <w:highlight w:val="none"/>
        </w:rPr>
        <w:t>测试化验加工支出主要用于由于承担单位自身的技术、工艺和设备等条件的限制，在项目（课题）实施过程中委托或与外单位合作（包括承担单位内部独立经济核算单位）进行的检验、测试、化验、加工、计算、试验、设计、制作等所支付的费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4.差旅费/会议费/国际合作交流费。由科研人员结合科研活动实际需要编制预算并按规定统筹安排使用。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差旅费。指在项目实施过程中开展科学实验（试验）、科学考察、业务调研、学术交流等所发生的城市间交通费、住宿费、伙食补助费和市内交通费。项目承担单位应按照实事求是、精简高效、厉行节约的原则，参照云南省省级机关差旅费、会议费、因公临时出国经费、在华举办国际会议经费、科研人员因公出国等制度，结合科研工作实际自行制定差旅费、会议费和国际合作交流费管理办法，合理确定科研人员乘坐交通工具等级和住宿费标准。对国内差旅费中的伙食补助费、市内交通费和难以取得发票的住宿费可实行包干</w:t>
      </w:r>
      <w:r>
        <w:rPr>
          <w:rFonts w:hint="eastAsia" w:ascii="仿宋_GB2312" w:hAnsi="仿宋_GB2312" w:eastAsia="仿宋_GB2312" w:cs="仿宋_GB2312"/>
          <w:sz w:val="32"/>
          <w:szCs w:val="32"/>
          <w:highlight w:val="none"/>
          <w:lang w:eastAsia="zh-CN"/>
        </w:rPr>
        <w:t>报销</w:t>
      </w:r>
      <w:r>
        <w:rPr>
          <w:rFonts w:hint="eastAsia" w:ascii="仿宋_GB2312" w:hAnsi="仿宋_GB2312" w:eastAsia="仿宋_GB2312" w:cs="仿宋_GB2312"/>
          <w:sz w:val="32"/>
          <w:szCs w:val="32"/>
          <w:highlight w:val="none"/>
        </w:rPr>
        <w:t>。项目承担单位制订的管理办法向单位主管部门报备后，可作为审计、财务评审或检查的依据。</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会议费。指在项目实施过程中为组织开展学术研讨、咨询论证，以及组织协调项目等活动而发生的会议费用。科研业务会议（如学术会议、研讨会、评审会、座谈会、答辩会等）的次数、天数、人数以及会议费开支范围、标准等，由项目承担单位自主确定。因工作需要，邀请国内外专家、学者和有关人员参加会议，对确需负担的城市间交通费、国际旅费，可由主办单位在会议费等费用中预算。</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国际合作交流费。指在项目研究开发过程中，项目组研究人员出国开展科学技术交流及外国专家来华工作发生的费用。对科研人员因公出国（境）开展国际合作与交流的管理应与行政人员有所区别，对为完成项目任务目标、从科研经费中列支费用的国际合作与交流按业务类别单独管理。</w:t>
      </w:r>
    </w:p>
    <w:p>
      <w:pPr>
        <w:pStyle w:val="1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5.档案/出版/文献/信息传播/知识产权事务支出主要用于在项目（课题）实施过程中，需要支付的出版、资料购买及印刷、文献检索、专业通信、专利申请及其他知识产权事务等费用。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其他相关支出。指除上述费用之外的其它支出，在申请预算时单独列示，详细说明，单独核定。重大项目实施确实需要安排科研基础设施建设费的，可在该科目中编列。项目实施过程中发生的审计费用等可在该科目中列支。其他支出预算比例原则上不得超过该项目预算总额的10%。</w:t>
      </w:r>
    </w:p>
    <w:p>
      <w:pPr>
        <w:keepNext w:val="0"/>
        <w:keepLines w:val="0"/>
        <w:pageBreakBefore w:val="0"/>
        <w:widowControl/>
        <w:shd w:val="clear" w:color="auto" w:fill="FFFFFF"/>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（三）劳务费：是指在项目实施过程中支付给参与项目的研究生、博士后、访问学者和项目聘用的研究人员、科研辅助人员等的劳务性费用；以及支付给临时聘请的咨询专家的费用等。</w:t>
      </w:r>
    </w:p>
    <w:p>
      <w:pPr>
        <w:pStyle w:val="2"/>
        <w:keepNext w:val="0"/>
        <w:keepLines w:val="0"/>
        <w:pageBreakBefore w:val="0"/>
        <w:widowControl/>
        <w:kinsoku/>
        <w:wordWrap/>
        <w:overflowPunct/>
        <w:topLinePunct w:val="0"/>
        <w:autoSpaceDE/>
        <w:autoSpaceDN/>
        <w:bidi w:val="0"/>
        <w:adjustRightInd w:val="0"/>
        <w:snapToGrid w:val="0"/>
        <w:spacing w:line="590" w:lineRule="exact"/>
        <w:ind w:left="0" w:firstLine="640" w:firstLineChars="200"/>
        <w:textAlignment w:val="auto"/>
        <w:rPr>
          <w:rFonts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1.项目聘用人员劳务费开支标准参照本单位同类在职人员薪酬水平自主确定，由单位承担的社会保险、住房公积金、职业年金纳入劳务费科目列支。编制外聘用高层次人才实施项目工资制、年薪制及科研（财务）助理所需费用在劳务费中列支。</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2.专家咨询费是指在项目研究开发过程中支付给临时聘请的咨询、论证及绩效评价等专家的费用。参与本项目及所属课题研究和管理的相关工作人员不得领取专家咨询费。发放标准：</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会议形式（含网络视频会议）专家咨询费标准：高级专业技术职称人员的专家咨询费标准为1500—2400元/人天（税后）；其他专业人员的专家咨询费标准为900元/人天（税后）；院士、全国知名专家，可按照高级专业技术职称人员的专家咨询费标准上浮50%。全国知名专家咨询费标准上浮的条件为：由两院院士主持，邀请省内外全国知名专家人数占出席会议专家人数三分之二以上的咨询活动，全部专家可按高层次专家咨询费标准发放。</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（2）现场访谈或者勘察形式专家咨询费标准：除按照会议形式咨询的标准发放专家咨询费外，同时可按照相关规定报销差旅费。</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（3）通讯形式（信涵、邮件）专家咨询费标准：高级专业技术职称人员一般每人次/每项不超过200元（税后），其他专业人员一般每人次/每项不超过150元（税后）。</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（4）网络形式（系统中）专家咨询费标准：高级专业技术职称人员一般每人次/每项不超过300元（税后），其他专业人员一般每人次/每项不超过200元（税后）。</w:t>
      </w:r>
    </w:p>
    <w:p>
      <w:pPr>
        <w:keepNext w:val="0"/>
        <w:keepLines w:val="0"/>
        <w:pageBreakBefore w:val="0"/>
        <w:widowControl/>
        <w:kinsoku/>
        <w:wordWrap/>
        <w:overflowPunct/>
        <w:topLinePunct w:val="0"/>
        <w:autoSpaceDE/>
        <w:autoSpaceDN/>
        <w:bidi w:val="0"/>
        <w:adjustRightInd w:val="0"/>
        <w:snapToGrid w:val="0"/>
        <w:spacing w:line="590" w:lineRule="exact"/>
        <w:ind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二、间接费用。是指承担单位在组织实施项目过程中发生的无法在直接费用中列支的相关费用。主要包括：承担单位为项目研究提供的房屋占用，日常水、电、气、暖消耗，有关管理费用的补助支出，以及激励科研人员、科研（财务）助理的绩效支出等，间接费用可全部用于绩效支出。</w:t>
      </w:r>
    </w:p>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r>
        <w:rPr>
          <w:rFonts w:hint="eastAsia" w:ascii="黑体" w:hAnsi="黑体" w:eastAsia="黑体" w:cs="黑体"/>
          <w:kern w:val="0"/>
          <w:sz w:val="32"/>
          <w:szCs w:val="32"/>
          <w:highlight w:val="none"/>
        </w:rPr>
        <w:t>附件2</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44"/>
          <w:szCs w:val="44"/>
          <w:highlight w:val="none"/>
        </w:rPr>
        <w:t>科技计划项目资金预算编制提纲</w:t>
      </w:r>
    </w:p>
    <w:p>
      <w:pPr>
        <w:pStyle w:val="2"/>
        <w:keepNext w:val="0"/>
        <w:keepLines w:val="0"/>
        <w:kinsoku/>
        <w:wordWrap/>
        <w:overflowPunct/>
        <w:topLinePunct w:val="0"/>
        <w:bidi w:val="0"/>
        <w:spacing w:line="590" w:lineRule="exact"/>
        <w:rPr>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概述：项目承担单位及参加单位的基本情况（含现有设备仪器情况）、财务状况，科研、财务制度建设及执行情况等。</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一、项目资金预算</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项目总预算（若有参加单位的需说明各参加单位的资金预算额度）、来源构成及分年度使用计划。</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二、项目绩效目标</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550"/>
        <w:gridCol w:w="1517"/>
        <w:gridCol w:w="1366"/>
        <w:gridCol w:w="198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71" w:type="dxa"/>
            <w:gridSpan w:val="3"/>
            <w:vAlign w:val="center"/>
          </w:tcPr>
          <w:p>
            <w:pPr>
              <w:keepNext w:val="0"/>
              <w:keepLines w:val="0"/>
              <w:widowControl/>
              <w:kinsoku/>
              <w:wordWrap/>
              <w:overflowPunct/>
              <w:topLinePunct w:val="0"/>
              <w:bidi w:val="0"/>
              <w:adjustRightInd w:val="0"/>
              <w:snapToGrid w:val="0"/>
              <w:spacing w:line="590" w:lineRule="exact"/>
              <w:ind w:firstLine="602" w:firstLineChars="200"/>
              <w:jc w:val="left"/>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项目绩效</w:t>
            </w:r>
          </w:p>
        </w:tc>
        <w:tc>
          <w:tcPr>
            <w:tcW w:w="1366"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指标值</w:t>
            </w:r>
          </w:p>
        </w:tc>
        <w:tc>
          <w:tcPr>
            <w:tcW w:w="1984"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绩效指标值设定依据及数据来源</w:t>
            </w:r>
          </w:p>
        </w:tc>
        <w:tc>
          <w:tcPr>
            <w:tcW w:w="1186"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4"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一级指标</w:t>
            </w:r>
          </w:p>
        </w:tc>
        <w:tc>
          <w:tcPr>
            <w:tcW w:w="1550"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二级指标</w:t>
            </w:r>
          </w:p>
        </w:tc>
        <w:tc>
          <w:tcPr>
            <w:tcW w:w="1517"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三级指标</w:t>
            </w: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04" w:type="dxa"/>
            <w:vMerge w:val="restart"/>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产出指标</w:t>
            </w:r>
          </w:p>
        </w:tc>
        <w:tc>
          <w:tcPr>
            <w:tcW w:w="1550"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数量指标</w:t>
            </w:r>
          </w:p>
        </w:tc>
        <w:tc>
          <w:tcPr>
            <w:tcW w:w="1517"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04" w:type="dxa"/>
            <w:vMerge w:val="continue"/>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tc>
        <w:tc>
          <w:tcPr>
            <w:tcW w:w="1550"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p>
        </w:tc>
        <w:tc>
          <w:tcPr>
            <w:tcW w:w="1517"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4" w:type="dxa"/>
            <w:vMerge w:val="continue"/>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tc>
        <w:tc>
          <w:tcPr>
            <w:tcW w:w="1550"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质量指标</w:t>
            </w:r>
          </w:p>
        </w:tc>
        <w:tc>
          <w:tcPr>
            <w:tcW w:w="1517"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4" w:type="dxa"/>
            <w:vMerge w:val="continue"/>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tc>
        <w:tc>
          <w:tcPr>
            <w:tcW w:w="1550"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p>
        </w:tc>
        <w:tc>
          <w:tcPr>
            <w:tcW w:w="1517"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4" w:type="dxa"/>
            <w:vMerge w:val="restart"/>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效益指标</w:t>
            </w:r>
          </w:p>
        </w:tc>
        <w:tc>
          <w:tcPr>
            <w:tcW w:w="1550"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社会效益</w:t>
            </w:r>
          </w:p>
        </w:tc>
        <w:tc>
          <w:tcPr>
            <w:tcW w:w="1517" w:type="dxa"/>
            <w:vAlign w:val="center"/>
          </w:tcPr>
          <w:p>
            <w:pPr>
              <w:keepNext w:val="0"/>
              <w:keepLines w:val="0"/>
              <w:widowControl/>
              <w:kinsoku/>
              <w:wordWrap/>
              <w:overflowPunct/>
              <w:topLinePunct w:val="0"/>
              <w:bidi w:val="0"/>
              <w:adjustRightInd w:val="0"/>
              <w:snapToGrid w:val="0"/>
              <w:spacing w:line="590" w:lineRule="exact"/>
              <w:jc w:val="left"/>
              <w:rPr>
                <w:rFonts w:hint="eastAsia" w:ascii="仿宋_GB2312" w:hAnsi="仿宋_GB2312" w:eastAsia="仿宋_GB2312" w:cs="仿宋_GB2312"/>
                <w:sz w:val="30"/>
                <w:szCs w:val="30"/>
                <w:highlight w:val="none"/>
              </w:rPr>
            </w:pP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4" w:type="dxa"/>
            <w:vMerge w:val="continue"/>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550"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p>
        </w:tc>
        <w:tc>
          <w:tcPr>
            <w:tcW w:w="1517"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4" w:type="dxa"/>
            <w:vMerge w:val="restart"/>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满意度</w:t>
            </w:r>
          </w:p>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指  标</w:t>
            </w:r>
          </w:p>
        </w:tc>
        <w:tc>
          <w:tcPr>
            <w:tcW w:w="1550"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服务对象满意度</w:t>
            </w:r>
          </w:p>
        </w:tc>
        <w:tc>
          <w:tcPr>
            <w:tcW w:w="1517"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4" w:type="dxa"/>
            <w:vMerge w:val="continue"/>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550"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p>
        </w:tc>
        <w:tc>
          <w:tcPr>
            <w:tcW w:w="1517"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36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984"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c>
          <w:tcPr>
            <w:tcW w:w="1186" w:type="dxa"/>
            <w:vAlign w:val="center"/>
          </w:tcPr>
          <w:p>
            <w:pPr>
              <w:keepNext w:val="0"/>
              <w:keepLines w:val="0"/>
              <w:kinsoku/>
              <w:wordWrap/>
              <w:overflowPunct/>
              <w:topLinePunct w:val="0"/>
              <w:bidi w:val="0"/>
              <w:spacing w:line="590" w:lineRule="exact"/>
              <w:jc w:val="center"/>
              <w:rPr>
                <w:rFonts w:ascii="仿宋_GB2312" w:hAnsi="仿宋_GB2312" w:eastAsia="仿宋_GB2312" w:cs="仿宋_GB2312"/>
                <w:sz w:val="30"/>
                <w:szCs w:val="30"/>
                <w:highlight w:val="none"/>
              </w:rPr>
            </w:pPr>
          </w:p>
        </w:tc>
      </w:tr>
    </w:tbl>
    <w:p>
      <w:pPr>
        <w:keepNext w:val="0"/>
        <w:keepLines w:val="0"/>
        <w:widowControl/>
        <w:kinsoku/>
        <w:wordWrap/>
        <w:overflowPunct/>
        <w:topLinePunct w:val="0"/>
        <w:bidi w:val="0"/>
        <w:adjustRightInd w:val="0"/>
        <w:snapToGrid w:val="0"/>
        <w:spacing w:line="590" w:lineRule="exact"/>
        <w:jc w:val="left"/>
        <w:rPr>
          <w:rFonts w:ascii="仿宋_GB2312" w:hAnsi="仿宋_GB2312" w:eastAsia="仿宋_GB2312" w:cs="仿宋_GB2312"/>
          <w:sz w:val="30"/>
          <w:szCs w:val="30"/>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三、分科目说明预算支出主要内容及测算依据</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（一）直接费用</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黑体" w:hAnsi="黑体" w:eastAsia="黑体" w:cs="黑体"/>
          <w:sz w:val="32"/>
          <w:szCs w:val="32"/>
          <w:highlight w:val="none"/>
        </w:rPr>
      </w:pPr>
      <w:r>
        <w:rPr>
          <w:rFonts w:hint="eastAsia" w:ascii="仿宋" w:hAnsi="仿宋" w:eastAsia="仿宋" w:cs="仿宋"/>
          <w:kern w:val="0"/>
          <w:sz w:val="32"/>
          <w:szCs w:val="32"/>
          <w:highlight w:val="none"/>
        </w:rPr>
        <w:t>直接费用应按照设备费、业务费、劳务费三类科目，结合科研任务按支出用途分别进行具体说明。对仪器设备购置、参</w:t>
      </w:r>
      <w:r>
        <w:rPr>
          <w:rFonts w:hint="eastAsia" w:ascii="仿宋" w:hAnsi="仿宋" w:eastAsia="仿宋" w:cs="仿宋"/>
          <w:kern w:val="0"/>
          <w:sz w:val="32"/>
          <w:szCs w:val="32"/>
          <w:highlight w:val="none"/>
          <w:lang w:eastAsia="zh-CN"/>
        </w:rPr>
        <w:t>加</w:t>
      </w:r>
      <w:r>
        <w:rPr>
          <w:rFonts w:hint="eastAsia" w:ascii="仿宋" w:hAnsi="仿宋" w:eastAsia="仿宋" w:cs="仿宋"/>
          <w:kern w:val="0"/>
          <w:sz w:val="32"/>
          <w:szCs w:val="32"/>
          <w:highlight w:val="none"/>
        </w:rPr>
        <w:t>单位资质及拟外拨资金进行重点说明，并申明现有的实施条件和从单位外部可能获得的共享服务。</w:t>
      </w:r>
    </w:p>
    <w:p>
      <w:pPr>
        <w:keepNext w:val="0"/>
        <w:keepLines w:val="0"/>
        <w:pageBreakBefore w:val="0"/>
        <w:widowControl/>
        <w:numPr>
          <w:ilvl w:val="0"/>
          <w:numId w:val="1"/>
        </w:numPr>
        <w:kinsoku/>
        <w:wordWrap/>
        <w:overflowPunct/>
        <w:topLinePunct w:val="0"/>
        <w:autoSpaceDE/>
        <w:autoSpaceDN/>
        <w:bidi w:val="0"/>
        <w:adjustRightInd w:val="0"/>
        <w:snapToGrid w:val="0"/>
        <w:spacing w:line="59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间接费用</w:t>
      </w:r>
      <w:r>
        <w:rPr>
          <w:rFonts w:hint="eastAsia" w:ascii="仿宋" w:hAnsi="仿宋" w:eastAsia="仿宋" w:cs="仿宋"/>
          <w:kern w:val="0"/>
          <w:sz w:val="32"/>
          <w:szCs w:val="32"/>
          <w:highlight w:val="none"/>
        </w:rPr>
        <w:t>（简要说明）</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kern w:val="0"/>
          <w:sz w:val="32"/>
          <w:szCs w:val="32"/>
          <w:highlight w:val="none"/>
        </w:rPr>
      </w:pPr>
    </w:p>
    <w:tbl>
      <w:tblPr>
        <w:tblStyle w:val="17"/>
        <w:tblW w:w="0" w:type="auto"/>
        <w:tblInd w:w="0" w:type="dxa"/>
        <w:tblLayout w:type="fixed"/>
        <w:tblCellMar>
          <w:top w:w="0" w:type="dxa"/>
          <w:left w:w="108" w:type="dxa"/>
          <w:bottom w:w="0" w:type="dxa"/>
          <w:right w:w="108" w:type="dxa"/>
        </w:tblCellMar>
      </w:tblPr>
      <w:tblGrid>
        <w:gridCol w:w="1035"/>
        <w:gridCol w:w="557"/>
        <w:gridCol w:w="455"/>
        <w:gridCol w:w="693"/>
        <w:gridCol w:w="887"/>
        <w:gridCol w:w="641"/>
        <w:gridCol w:w="663"/>
        <w:gridCol w:w="897"/>
        <w:gridCol w:w="671"/>
        <w:gridCol w:w="674"/>
        <w:gridCol w:w="576"/>
        <w:gridCol w:w="659"/>
        <w:gridCol w:w="766"/>
      </w:tblGrid>
      <w:tr>
        <w:tblPrEx>
          <w:tblCellMar>
            <w:top w:w="0" w:type="dxa"/>
            <w:left w:w="108" w:type="dxa"/>
            <w:bottom w:w="0" w:type="dxa"/>
            <w:right w:w="108" w:type="dxa"/>
          </w:tblCellMar>
        </w:tblPrEx>
        <w:trPr>
          <w:trHeight w:val="557" w:hRule="atLeast"/>
        </w:trPr>
        <w:tc>
          <w:tcPr>
            <w:tcW w:w="9174" w:type="dxa"/>
            <w:gridSpan w:val="13"/>
            <w:vAlign w:val="center"/>
          </w:tcPr>
          <w:tbl>
            <w:tblPr>
              <w:tblStyle w:val="17"/>
              <w:tblpPr w:leftFromText="180" w:rightFromText="180" w:vertAnchor="text" w:horzAnchor="page" w:tblpX="1622" w:tblpY="112"/>
              <w:tblOverlap w:val="never"/>
              <w:tblW w:w="0" w:type="auto"/>
              <w:tblInd w:w="108" w:type="dxa"/>
              <w:tblLayout w:type="fixed"/>
              <w:tblCellMar>
                <w:top w:w="0" w:type="dxa"/>
                <w:left w:w="108" w:type="dxa"/>
                <w:bottom w:w="0" w:type="dxa"/>
                <w:right w:w="108" w:type="dxa"/>
              </w:tblCellMar>
            </w:tblPr>
            <w:tblGrid>
              <w:gridCol w:w="4266"/>
              <w:gridCol w:w="1060"/>
              <w:gridCol w:w="984"/>
              <w:gridCol w:w="488"/>
              <w:gridCol w:w="631"/>
              <w:gridCol w:w="523"/>
              <w:gridCol w:w="1068"/>
            </w:tblGrid>
            <w:tr>
              <w:tblPrEx>
                <w:tblCellMar>
                  <w:top w:w="0" w:type="dxa"/>
                  <w:left w:w="108" w:type="dxa"/>
                  <w:bottom w:w="0" w:type="dxa"/>
                  <w:right w:w="108" w:type="dxa"/>
                </w:tblCellMar>
              </w:tblPrEx>
              <w:trPr>
                <w:trHeight w:val="450" w:hRule="atLeast"/>
              </w:trPr>
              <w:tc>
                <w:tcPr>
                  <w:tcW w:w="9020" w:type="dxa"/>
                  <w:gridSpan w:val="7"/>
                  <w:tcBorders>
                    <w:top w:val="nil"/>
                    <w:left w:val="nil"/>
                    <w:bottom w:val="nil"/>
                    <w:right w:val="nil"/>
                  </w:tcBorders>
                  <w:vAlign w:val="center"/>
                </w:tcPr>
                <w:p>
                  <w:pPr>
                    <w:keepNext w:val="0"/>
                    <w:keepLines w:val="0"/>
                    <w:kinsoku/>
                    <w:wordWrap/>
                    <w:overflowPunct/>
                    <w:topLinePunct w:val="0"/>
                    <w:bidi w:val="0"/>
                    <w:spacing w:line="590" w:lineRule="exact"/>
                    <w:rPr>
                      <w:rFonts w:ascii="仿宋_GB2312" w:hAnsi="仿宋_GB2312" w:eastAsia="仿宋_GB2312" w:cs="仿宋_GB2312"/>
                      <w:kern w:val="0"/>
                      <w:sz w:val="30"/>
                      <w:szCs w:val="30"/>
                      <w:highlight w:val="none"/>
                    </w:rPr>
                  </w:pPr>
                </w:p>
                <w:p>
                  <w:pPr>
                    <w:keepNext w:val="0"/>
                    <w:keepLines w:val="0"/>
                    <w:widowControl/>
                    <w:kinsoku/>
                    <w:wordWrap/>
                    <w:overflowPunct/>
                    <w:topLinePunct w:val="0"/>
                    <w:bidi w:val="0"/>
                    <w:spacing w:line="590" w:lineRule="exact"/>
                    <w:jc w:val="center"/>
                    <w:rPr>
                      <w:rFonts w:ascii="仿宋_GB2312" w:hAnsi="仿宋_GB2312" w:eastAsia="仿宋_GB2312" w:cs="仿宋_GB2312"/>
                      <w:kern w:val="0"/>
                      <w:sz w:val="30"/>
                      <w:szCs w:val="30"/>
                      <w:highlight w:val="none"/>
                    </w:rPr>
                  </w:pPr>
                  <w:r>
                    <w:rPr>
                      <w:rFonts w:hint="eastAsia" w:ascii="方正小标宋简体" w:hAnsi="方正小标宋简体" w:eastAsia="方正小标宋简体" w:cs="方正小标宋简体"/>
                      <w:bCs/>
                      <w:kern w:val="0"/>
                      <w:sz w:val="36"/>
                      <w:szCs w:val="36"/>
                      <w:highlight w:val="none"/>
                    </w:rPr>
                    <w:t>科技计划项目资金预算表</w:t>
                  </w:r>
                </w:p>
              </w:tc>
            </w:tr>
            <w:tr>
              <w:tblPrEx>
                <w:tblCellMar>
                  <w:top w:w="0" w:type="dxa"/>
                  <w:left w:w="108" w:type="dxa"/>
                  <w:bottom w:w="0" w:type="dxa"/>
                  <w:right w:w="108" w:type="dxa"/>
                </w:tblCellMar>
              </w:tblPrEx>
              <w:trPr>
                <w:trHeight w:val="581" w:hRule="exact"/>
              </w:trPr>
              <w:tc>
                <w:tcPr>
                  <w:tcW w:w="9020" w:type="dxa"/>
                  <w:gridSpan w:val="7"/>
                  <w:tcBorders>
                    <w:top w:val="nil"/>
                    <w:left w:val="nil"/>
                    <w:bottom w:val="nil"/>
                    <w:right w:val="nil"/>
                  </w:tcBorders>
                  <w:vAlign w:val="center"/>
                </w:tcPr>
                <w:p>
                  <w:pPr>
                    <w:keepNext w:val="0"/>
                    <w:keepLines w:val="0"/>
                    <w:widowControl/>
                    <w:kinsoku/>
                    <w:wordWrap/>
                    <w:overflowPunct/>
                    <w:topLinePunct w:val="0"/>
                    <w:bidi w:val="0"/>
                    <w:spacing w:line="590" w:lineRule="exact"/>
                    <w:jc w:val="right"/>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单位：万元</w:t>
                  </w: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400"/>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预算科目</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总预算数</w:t>
                  </w:r>
                </w:p>
              </w:tc>
              <w:tc>
                <w:tcPr>
                  <w:tcW w:w="984" w:type="dxa"/>
                  <w:tcBorders>
                    <w:top w:val="single" w:color="auto" w:sz="4" w:space="0"/>
                    <w:left w:val="nil"/>
                    <w:bottom w:val="single" w:color="auto" w:sz="4" w:space="0"/>
                    <w:right w:val="single" w:color="auto" w:sz="4" w:space="0"/>
                  </w:tcBorders>
                  <w:vAlign w:val="center"/>
                </w:tcPr>
                <w:p>
                  <w:pPr>
                    <w:keepNext w:val="0"/>
                    <w:keepLines w:val="0"/>
                    <w:kinsoku/>
                    <w:wordWrap/>
                    <w:overflowPunct/>
                    <w:topLinePunct w:val="0"/>
                    <w:bidi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财政资金</w:t>
                  </w:r>
                </w:p>
              </w:tc>
              <w:tc>
                <w:tcPr>
                  <w:tcW w:w="1119" w:type="dxa"/>
                  <w:gridSpan w:val="2"/>
                  <w:tcBorders>
                    <w:top w:val="single" w:color="auto" w:sz="4" w:space="0"/>
                    <w:left w:val="nil"/>
                    <w:bottom w:val="single" w:color="auto" w:sz="4" w:space="0"/>
                    <w:right w:val="single" w:color="auto" w:sz="4" w:space="0"/>
                  </w:tcBorders>
                  <w:vAlign w:val="center"/>
                </w:tcPr>
                <w:p>
                  <w:pPr>
                    <w:keepNext w:val="0"/>
                    <w:keepLines w:val="0"/>
                    <w:kinsoku/>
                    <w:wordWrap/>
                    <w:overflowPunct/>
                    <w:topLinePunct w:val="0"/>
                    <w:bidi w:val="0"/>
                    <w:spacing w:line="590" w:lineRule="exact"/>
                    <w:jc w:val="center"/>
                    <w:rPr>
                      <w:rFonts w:hint="eastAsia" w:ascii="黑体" w:hAnsi="黑体" w:eastAsia="黑体" w:cs="黑体"/>
                      <w:bCs/>
                      <w:kern w:val="0"/>
                      <w:sz w:val="30"/>
                      <w:szCs w:val="30"/>
                      <w:highlight w:val="none"/>
                    </w:rPr>
                  </w:pPr>
                  <w:r>
                    <w:rPr>
                      <w:rFonts w:hint="eastAsia" w:ascii="黑体" w:hAnsi="黑体" w:eastAsia="黑体" w:cs="黑体"/>
                      <w:bCs/>
                      <w:kern w:val="0"/>
                      <w:sz w:val="30"/>
                      <w:szCs w:val="30"/>
                      <w:highlight w:val="none"/>
                    </w:rPr>
                    <w:t>自筹</w:t>
                  </w:r>
                </w:p>
                <w:p>
                  <w:pPr>
                    <w:keepNext w:val="0"/>
                    <w:keepLines w:val="0"/>
                    <w:kinsoku/>
                    <w:wordWrap/>
                    <w:overflowPunct/>
                    <w:topLinePunct w:val="0"/>
                    <w:bidi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资金</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备注</w:t>
                  </w:r>
                </w:p>
              </w:tc>
            </w:tr>
            <w:tr>
              <w:tblPrEx>
                <w:tblCellMar>
                  <w:top w:w="0" w:type="dxa"/>
                  <w:left w:w="108" w:type="dxa"/>
                  <w:bottom w:w="0" w:type="dxa"/>
                  <w:right w:w="108" w:type="dxa"/>
                </w:tblCellMar>
              </w:tblPrEx>
              <w:trPr>
                <w:trHeight w:val="703" w:hRule="atLeast"/>
              </w:trPr>
              <w:tc>
                <w:tcPr>
                  <w:tcW w:w="902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left"/>
                    <w:rPr>
                      <w:rFonts w:ascii="仿宋_GB2312" w:hAnsi="仿宋_GB2312" w:eastAsia="仿宋_GB2312" w:cs="仿宋_GB2312"/>
                      <w:kern w:val="0"/>
                      <w:sz w:val="30"/>
                      <w:szCs w:val="30"/>
                      <w:highlight w:val="none"/>
                    </w:rPr>
                  </w:pPr>
                  <w:r>
                    <w:rPr>
                      <w:rFonts w:hint="eastAsia" w:ascii="黑体" w:hAnsi="黑体" w:eastAsia="黑体" w:cs="黑体"/>
                      <w:kern w:val="0"/>
                      <w:sz w:val="30"/>
                      <w:szCs w:val="30"/>
                      <w:highlight w:val="none"/>
                    </w:rPr>
                    <w:t>一、资金来源</w:t>
                  </w: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（一）省级财政资金</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kern w:val="0"/>
                      <w:sz w:val="30"/>
                      <w:szCs w:val="30"/>
                      <w:highlight w:val="none"/>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kern w:val="0"/>
                      <w:sz w:val="30"/>
                      <w:szCs w:val="30"/>
                      <w:highlight w:val="none"/>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（二）自筹资金</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kern w:val="0"/>
                      <w:sz w:val="30"/>
                      <w:szCs w:val="30"/>
                      <w:highlight w:val="none"/>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kern w:val="0"/>
                      <w:sz w:val="30"/>
                      <w:szCs w:val="30"/>
                      <w:highlight w:val="none"/>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703" w:hRule="atLeast"/>
              </w:trPr>
              <w:tc>
                <w:tcPr>
                  <w:tcW w:w="902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left"/>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二、资金支出</w:t>
                  </w: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（一）直接费用</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1.设备费</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22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2.业务费</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3.劳务费</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（二）间接费用</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703" w:hRule="atLeast"/>
              </w:trPr>
              <w:tc>
                <w:tcPr>
                  <w:tcW w:w="902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left"/>
                    <w:rPr>
                      <w:rFonts w:ascii="仿宋_GB2312" w:hAnsi="仿宋_GB2312" w:eastAsia="仿宋_GB2312" w:cs="仿宋_GB2312"/>
                      <w:b/>
                      <w:kern w:val="0"/>
                      <w:sz w:val="30"/>
                      <w:szCs w:val="30"/>
                      <w:highlight w:val="none"/>
                    </w:rPr>
                  </w:pPr>
                  <w:r>
                    <w:rPr>
                      <w:rFonts w:hint="eastAsia" w:ascii="黑体" w:hAnsi="黑体" w:eastAsia="黑体" w:cs="黑体"/>
                      <w:bCs/>
                      <w:kern w:val="0"/>
                      <w:sz w:val="30"/>
                      <w:szCs w:val="30"/>
                      <w:highlight w:val="none"/>
                    </w:rPr>
                    <w:t>三、分年度用款计划</w:t>
                  </w: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年度</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第一年</w:t>
                  </w: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第二年</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第三年</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jc w:val="center"/>
                    <w:rPr>
                      <w:rFonts w:hint="eastAsia" w:ascii="黑体" w:hAnsi="黑体" w:eastAsia="黑体" w:cs="黑体"/>
                      <w:bCs/>
                      <w:kern w:val="0"/>
                      <w:sz w:val="30"/>
                      <w:szCs w:val="30"/>
                      <w:highlight w:val="none"/>
                    </w:rPr>
                  </w:pPr>
                  <w:r>
                    <w:rPr>
                      <w:rFonts w:hint="eastAsia" w:ascii="黑体" w:hAnsi="黑体" w:eastAsia="黑体" w:cs="黑体"/>
                      <w:bCs/>
                      <w:kern w:val="0"/>
                      <w:sz w:val="30"/>
                      <w:szCs w:val="30"/>
                      <w:highlight w:val="none"/>
                    </w:rPr>
                    <w:t>第四年</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jc w:val="center"/>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第五年</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jc w:val="center"/>
                    <w:rPr>
                      <w:rFonts w:hint="eastAsia" w:ascii="黑体" w:hAnsi="黑体" w:eastAsia="黑体" w:cs="黑体"/>
                      <w:bCs/>
                      <w:kern w:val="0"/>
                      <w:sz w:val="30"/>
                      <w:szCs w:val="30"/>
                      <w:highlight w:val="none"/>
                    </w:rPr>
                  </w:pPr>
                  <w:r>
                    <w:rPr>
                      <w:rFonts w:hint="eastAsia" w:ascii="黑体" w:hAnsi="黑体" w:eastAsia="黑体" w:cs="黑体"/>
                      <w:bCs/>
                      <w:kern w:val="0"/>
                      <w:sz w:val="30"/>
                      <w:szCs w:val="30"/>
                      <w:highlight w:val="none"/>
                    </w:rPr>
                    <w:t>合计</w:t>
                  </w: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用款总额</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财政资金</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r>
            <w:tr>
              <w:tblPrEx>
                <w:tblCellMar>
                  <w:top w:w="0" w:type="dxa"/>
                  <w:left w:w="108" w:type="dxa"/>
                  <w:bottom w:w="0" w:type="dxa"/>
                  <w:right w:w="108" w:type="dxa"/>
                </w:tblCellMar>
              </w:tblPrEx>
              <w:trPr>
                <w:trHeight w:val="703" w:hRule="atLeast"/>
              </w:trPr>
              <w:tc>
                <w:tcPr>
                  <w:tcW w:w="4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jc w:val="center"/>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自筹资金</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napToGrid w:val="0"/>
                    <w:spacing w:line="590" w:lineRule="exact"/>
                    <w:ind w:firstLine="400"/>
                    <w:rPr>
                      <w:rFonts w:ascii="仿宋_GB2312" w:hAnsi="仿宋_GB2312" w:eastAsia="仿宋_GB2312" w:cs="仿宋_GB2312"/>
                      <w:kern w:val="0"/>
                      <w:sz w:val="30"/>
                      <w:szCs w:val="30"/>
                      <w:highlight w:val="none"/>
                    </w:rPr>
                  </w:pPr>
                </w:p>
              </w:tc>
            </w:tr>
          </w:tbl>
          <w:p>
            <w:pPr>
              <w:keepNext w:val="0"/>
              <w:keepLines w:val="0"/>
              <w:kinsoku/>
              <w:wordWrap/>
              <w:overflowPunct/>
              <w:topLinePunct w:val="0"/>
              <w:bidi w:val="0"/>
              <w:spacing w:line="590" w:lineRule="exact"/>
              <w:rPr>
                <w:rFonts w:hint="eastAsia" w:ascii="仿宋_GB2312" w:hAnsi="仿宋_GB2312" w:eastAsia="仿宋_GB2312" w:cs="仿宋_GB2312"/>
                <w:b/>
                <w:bCs/>
                <w:sz w:val="30"/>
                <w:szCs w:val="30"/>
                <w:highlight w:val="none"/>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24"/>
              <w:rPr>
                <w:rFonts w:ascii="Times New Roman" w:hAnsi="Times New Roman"/>
                <w:highlight w:val="none"/>
                <w:lang w:eastAsia="zh-CN"/>
              </w:rPr>
            </w:pPr>
          </w:p>
          <w:p>
            <w:pPr>
              <w:keepNext w:val="0"/>
              <w:keepLines w:val="0"/>
              <w:widowControl/>
              <w:kinsoku/>
              <w:wordWrap/>
              <w:overflowPunct/>
              <w:topLinePunct w:val="0"/>
              <w:bidi w:val="0"/>
              <w:spacing w:line="590" w:lineRule="exact"/>
              <w:rPr>
                <w:rFonts w:ascii="仿宋_GB2312" w:hAnsi="仿宋_GB2312" w:eastAsia="仿宋_GB2312" w:cs="仿宋_GB2312"/>
                <w:kern w:val="0"/>
                <w:sz w:val="30"/>
                <w:szCs w:val="30"/>
                <w:highlight w:val="none"/>
              </w:rPr>
            </w:pPr>
            <w:r>
              <w:rPr>
                <w:rFonts w:hint="eastAsia" w:ascii="黑体" w:hAnsi="黑体" w:eastAsia="黑体" w:cs="黑体"/>
                <w:kern w:val="0"/>
                <w:sz w:val="30"/>
                <w:szCs w:val="30"/>
                <w:highlight w:val="none"/>
              </w:rPr>
              <w:t>附表1-1</w:t>
            </w:r>
          </w:p>
        </w:tc>
      </w:tr>
      <w:tr>
        <w:tblPrEx>
          <w:tblCellMar>
            <w:top w:w="0" w:type="dxa"/>
            <w:left w:w="108" w:type="dxa"/>
            <w:bottom w:w="0" w:type="dxa"/>
            <w:right w:w="108" w:type="dxa"/>
          </w:tblCellMar>
        </w:tblPrEx>
        <w:trPr>
          <w:trHeight w:val="1455" w:hRule="atLeast"/>
        </w:trPr>
        <w:tc>
          <w:tcPr>
            <w:tcW w:w="9174" w:type="dxa"/>
            <w:gridSpan w:val="13"/>
            <w:tcBorders>
              <w:bottom w:val="single" w:color="auto" w:sz="4" w:space="0"/>
            </w:tcBorders>
            <w:vAlign w:val="center"/>
          </w:tcPr>
          <w:p>
            <w:pPr>
              <w:keepNext w:val="0"/>
              <w:keepLines w:val="0"/>
              <w:widowControl/>
              <w:kinsoku/>
              <w:wordWrap/>
              <w:overflowPunct/>
              <w:topLinePunct w:val="0"/>
              <w:bidi w:val="0"/>
              <w:snapToGrid w:val="0"/>
              <w:spacing w:line="590" w:lineRule="exact"/>
              <w:ind w:firstLine="480"/>
              <w:jc w:val="center"/>
              <w:rPr>
                <w:rFonts w:ascii="方正小标宋简体" w:hAnsi="方正小标宋简体" w:eastAsia="方正小标宋简体" w:cs="方正小标宋简体"/>
                <w:bCs/>
                <w:kern w:val="0"/>
                <w:sz w:val="36"/>
                <w:szCs w:val="36"/>
                <w:highlight w:val="none"/>
              </w:rPr>
            </w:pPr>
            <w:r>
              <w:rPr>
                <w:rFonts w:hint="eastAsia" w:ascii="方正小标宋简体" w:hAnsi="方正小标宋简体" w:eastAsia="方正小标宋简体" w:cs="方正小标宋简体"/>
                <w:bCs/>
                <w:kern w:val="0"/>
                <w:sz w:val="36"/>
                <w:szCs w:val="36"/>
                <w:highlight w:val="none"/>
              </w:rPr>
              <w:t>设备费—购置设备预算明细表</w:t>
            </w:r>
          </w:p>
          <w:p>
            <w:pPr>
              <w:keepNext w:val="0"/>
              <w:keepLines w:val="0"/>
              <w:widowControl/>
              <w:kinsoku/>
              <w:wordWrap/>
              <w:overflowPunct/>
              <w:topLinePunct w:val="0"/>
              <w:bidi w:val="0"/>
              <w:spacing w:line="590" w:lineRule="exact"/>
              <w:ind w:firstLine="5700" w:firstLineChars="1900"/>
              <w:jc w:val="right"/>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单位：万元（保留两位小数）</w:t>
            </w:r>
          </w:p>
        </w:tc>
      </w:tr>
      <w:tr>
        <w:tblPrEx>
          <w:tblCellMar>
            <w:top w:w="0" w:type="dxa"/>
            <w:left w:w="108" w:type="dxa"/>
            <w:bottom w:w="0" w:type="dxa"/>
            <w:right w:w="108" w:type="dxa"/>
          </w:tblCellMar>
        </w:tblPrEx>
        <w:trPr>
          <w:trHeight w:val="1635" w:hRule="atLeast"/>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序号</w:t>
            </w:r>
          </w:p>
        </w:tc>
        <w:tc>
          <w:tcPr>
            <w:tcW w:w="5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设备名称</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功能和技术指标</w:t>
            </w:r>
          </w:p>
        </w:tc>
        <w:tc>
          <w:tcPr>
            <w:tcW w:w="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单价（万元/台套）</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数量（台套）</w:t>
            </w: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金额</w:t>
            </w: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购置</w:t>
            </w: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单位</w:t>
            </w:r>
          </w:p>
        </w:tc>
        <w:tc>
          <w:tcPr>
            <w:tcW w:w="897"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存放置单位（地点）</w:t>
            </w:r>
          </w:p>
        </w:tc>
        <w:tc>
          <w:tcPr>
            <w:tcW w:w="671"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购置</w:t>
            </w: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设备</w:t>
            </w: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类型</w:t>
            </w:r>
          </w:p>
        </w:tc>
        <w:tc>
          <w:tcPr>
            <w:tcW w:w="674"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主要生产厂家及国别</w:t>
            </w:r>
          </w:p>
        </w:tc>
        <w:tc>
          <w:tcPr>
            <w:tcW w:w="576"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规格</w:t>
            </w: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型号</w:t>
            </w:r>
          </w:p>
        </w:tc>
        <w:tc>
          <w:tcPr>
            <w:tcW w:w="659"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拟开放共享范围</w:t>
            </w:r>
          </w:p>
        </w:tc>
        <w:tc>
          <w:tcPr>
            <w:tcW w:w="766"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购置必要性及对项目研究的作用和用途</w:t>
            </w:r>
          </w:p>
        </w:tc>
      </w:tr>
      <w:tr>
        <w:tblPrEx>
          <w:tblCellMar>
            <w:top w:w="0" w:type="dxa"/>
            <w:left w:w="108" w:type="dxa"/>
            <w:bottom w:w="0" w:type="dxa"/>
            <w:right w:w="108" w:type="dxa"/>
          </w:tblCellMar>
        </w:tblPrEx>
        <w:trPr>
          <w:trHeight w:val="510" w:hRule="atLeast"/>
        </w:trPr>
        <w:tc>
          <w:tcPr>
            <w:tcW w:w="1035" w:type="dxa"/>
            <w:tcBorders>
              <w:top w:val="nil"/>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557"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455"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93"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887"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41"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63"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897"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71"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74"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576"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59"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766" w:type="dxa"/>
            <w:tcBorders>
              <w:top w:val="single" w:color="auto" w:sz="4" w:space="0"/>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r>
      <w:tr>
        <w:tblPrEx>
          <w:tblCellMar>
            <w:top w:w="0" w:type="dxa"/>
            <w:left w:w="108" w:type="dxa"/>
            <w:bottom w:w="0" w:type="dxa"/>
            <w:right w:w="108" w:type="dxa"/>
          </w:tblCellMar>
        </w:tblPrEx>
        <w:trPr>
          <w:trHeight w:val="525" w:hRule="atLeast"/>
        </w:trPr>
        <w:tc>
          <w:tcPr>
            <w:tcW w:w="1035" w:type="dxa"/>
            <w:tcBorders>
              <w:top w:val="nil"/>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557"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455"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93"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887"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41"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63"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897"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71"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74"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576"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659"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c>
          <w:tcPr>
            <w:tcW w:w="766" w:type="dxa"/>
            <w:tcBorders>
              <w:top w:val="nil"/>
              <w:left w:val="nil"/>
              <w:bottom w:val="single" w:color="auto" w:sz="4" w:space="0"/>
              <w:right w:val="single" w:color="auto" w:sz="4" w:space="0"/>
            </w:tcBorders>
            <w:vAlign w:val="center"/>
          </w:tcPr>
          <w:p>
            <w:pPr>
              <w:keepNext w:val="0"/>
              <w:keepLines w:val="0"/>
              <w:widowControl/>
              <w:kinsoku/>
              <w:wordWrap/>
              <w:overflowPunct/>
              <w:topLinePunct w:val="0"/>
              <w:bidi w:val="0"/>
              <w:spacing w:line="590" w:lineRule="exact"/>
              <w:ind w:firstLine="360"/>
              <w:jc w:val="center"/>
              <w:rPr>
                <w:rFonts w:ascii="仿宋_GB2312" w:hAnsi="仿宋_GB2312" w:eastAsia="仿宋_GB2312" w:cs="仿宋_GB2312"/>
                <w:b/>
                <w:bCs/>
                <w:color w:val="000000"/>
                <w:kern w:val="0"/>
                <w:sz w:val="24"/>
                <w:szCs w:val="24"/>
                <w:highlight w:val="none"/>
              </w:rPr>
            </w:pPr>
          </w:p>
        </w:tc>
      </w:tr>
      <w:tr>
        <w:tblPrEx>
          <w:tblCellMar>
            <w:top w:w="0" w:type="dxa"/>
            <w:left w:w="108" w:type="dxa"/>
            <w:bottom w:w="0" w:type="dxa"/>
            <w:right w:w="108" w:type="dxa"/>
          </w:tblCellMar>
        </w:tblPrEx>
        <w:trPr>
          <w:trHeight w:val="1274" w:hRule="atLeast"/>
        </w:trPr>
        <w:tc>
          <w:tcPr>
            <w:tcW w:w="20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rPr>
              <w:t>单价20万元以上购置设备合计</w:t>
            </w:r>
          </w:p>
        </w:tc>
        <w:tc>
          <w:tcPr>
            <w:tcW w:w="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default" w:ascii="仿宋_GB2312" w:hAnsi="仿宋_GB2312" w:eastAsia="仿宋_GB2312" w:cs="仿宋_GB2312"/>
                <w:bCs/>
                <w:color w:val="000000"/>
                <w:kern w:val="0"/>
                <w:sz w:val="24"/>
                <w:szCs w:val="24"/>
                <w:highlight w:val="none"/>
                <w:lang w:val="en-US" w:eastAsia="zh-CN"/>
              </w:rPr>
            </w:pPr>
            <w:r>
              <w:rPr>
                <w:rFonts w:hint="eastAsia" w:ascii="仿宋_GB2312" w:hAnsi="仿宋_GB2312" w:eastAsia="仿宋_GB2312" w:cs="仿宋_GB2312"/>
                <w:bCs/>
                <w:color w:val="000000"/>
                <w:kern w:val="0"/>
                <w:sz w:val="24"/>
                <w:szCs w:val="24"/>
                <w:highlight w:val="none"/>
                <w:lang w:val="en-US" w:eastAsia="zh-CN"/>
              </w:rPr>
              <w:t>/</w:t>
            </w:r>
          </w:p>
        </w:tc>
        <w:tc>
          <w:tcPr>
            <w:tcW w:w="887" w:type="dxa"/>
            <w:tcBorders>
              <w:top w:val="single" w:color="auto" w:sz="4" w:space="0"/>
              <w:left w:val="single" w:color="auto" w:sz="4" w:space="0"/>
              <w:bottom w:val="single" w:color="auto" w:sz="4" w:space="0"/>
              <w:right w:val="single" w:color="auto" w:sz="4" w:space="0"/>
            </w:tcBorders>
          </w:tcPr>
          <w:p>
            <w:pPr>
              <w:keepNext w:val="0"/>
              <w:keepLines w:val="0"/>
              <w:widowControl/>
              <w:kinsoku/>
              <w:wordWrap/>
              <w:overflowPunct/>
              <w:topLinePunct w:val="0"/>
              <w:bidi w:val="0"/>
              <w:spacing w:line="590" w:lineRule="exact"/>
              <w:jc w:val="left"/>
              <w:rPr>
                <w:rFonts w:ascii="仿宋_GB2312" w:hAnsi="仿宋_GB2312" w:eastAsia="仿宋_GB2312" w:cs="仿宋_GB2312"/>
                <w:bCs/>
                <w:color w:val="000000"/>
                <w:kern w:val="0"/>
                <w:sz w:val="24"/>
                <w:szCs w:val="24"/>
                <w:highlight w:val="none"/>
              </w:rPr>
            </w:pPr>
          </w:p>
        </w:tc>
        <w:tc>
          <w:tcPr>
            <w:tcW w:w="641" w:type="dxa"/>
            <w:tcBorders>
              <w:top w:val="single" w:color="auto" w:sz="4" w:space="0"/>
              <w:left w:val="single" w:color="auto" w:sz="4" w:space="0"/>
              <w:bottom w:val="single" w:color="auto" w:sz="4" w:space="0"/>
              <w:right w:val="single" w:color="auto" w:sz="4" w:space="0"/>
            </w:tcBorders>
          </w:tcPr>
          <w:p>
            <w:pPr>
              <w:keepNext w:val="0"/>
              <w:keepLines w:val="0"/>
              <w:widowControl/>
              <w:kinsoku/>
              <w:wordWrap/>
              <w:overflowPunct/>
              <w:topLinePunct w:val="0"/>
              <w:bidi w:val="0"/>
              <w:spacing w:line="590" w:lineRule="exact"/>
              <w:jc w:val="left"/>
              <w:rPr>
                <w:rFonts w:ascii="仿宋_GB2312" w:hAnsi="仿宋_GB2312" w:eastAsia="仿宋_GB2312" w:cs="仿宋_GB2312"/>
                <w:bCs/>
                <w:color w:val="000000"/>
                <w:kern w:val="0"/>
                <w:sz w:val="24"/>
                <w:szCs w:val="24"/>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r>
      <w:tr>
        <w:tblPrEx>
          <w:tblCellMar>
            <w:top w:w="0" w:type="dxa"/>
            <w:left w:w="108" w:type="dxa"/>
            <w:bottom w:w="0" w:type="dxa"/>
            <w:right w:w="108" w:type="dxa"/>
          </w:tblCellMar>
        </w:tblPrEx>
        <w:trPr>
          <w:trHeight w:val="1210" w:hRule="atLeast"/>
        </w:trPr>
        <w:tc>
          <w:tcPr>
            <w:tcW w:w="20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rPr>
              <w:t>单价20万元以下购置设备合计</w:t>
            </w:r>
          </w:p>
        </w:tc>
        <w:tc>
          <w:tcPr>
            <w:tcW w:w="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887" w:type="dxa"/>
            <w:tcBorders>
              <w:top w:val="single" w:color="auto" w:sz="4" w:space="0"/>
              <w:left w:val="single" w:color="auto" w:sz="4" w:space="0"/>
              <w:bottom w:val="single" w:color="auto" w:sz="4" w:space="0"/>
              <w:right w:val="single" w:color="auto" w:sz="4" w:space="0"/>
            </w:tcBorders>
          </w:tcPr>
          <w:p>
            <w:pPr>
              <w:keepNext w:val="0"/>
              <w:keepLines w:val="0"/>
              <w:widowControl/>
              <w:kinsoku/>
              <w:wordWrap/>
              <w:overflowPunct/>
              <w:topLinePunct w:val="0"/>
              <w:bidi w:val="0"/>
              <w:spacing w:line="590" w:lineRule="exact"/>
              <w:jc w:val="left"/>
              <w:rPr>
                <w:rFonts w:ascii="仿宋_GB2312" w:hAnsi="仿宋_GB2312" w:eastAsia="仿宋_GB2312" w:cs="仿宋_GB2312"/>
                <w:bCs/>
                <w:color w:val="000000"/>
                <w:kern w:val="0"/>
                <w:sz w:val="24"/>
                <w:szCs w:val="24"/>
                <w:highlight w:val="none"/>
              </w:rPr>
            </w:pPr>
          </w:p>
        </w:tc>
        <w:tc>
          <w:tcPr>
            <w:tcW w:w="641" w:type="dxa"/>
            <w:tcBorders>
              <w:top w:val="single" w:color="auto" w:sz="4" w:space="0"/>
              <w:left w:val="single" w:color="auto" w:sz="4" w:space="0"/>
              <w:bottom w:val="single" w:color="auto" w:sz="4" w:space="0"/>
              <w:right w:val="single" w:color="auto" w:sz="4" w:space="0"/>
            </w:tcBorders>
          </w:tcPr>
          <w:p>
            <w:pPr>
              <w:keepNext w:val="0"/>
              <w:keepLines w:val="0"/>
              <w:widowControl/>
              <w:kinsoku/>
              <w:wordWrap/>
              <w:overflowPunct/>
              <w:topLinePunct w:val="0"/>
              <w:bidi w:val="0"/>
              <w:spacing w:line="590" w:lineRule="exact"/>
              <w:jc w:val="left"/>
              <w:rPr>
                <w:rFonts w:ascii="仿宋_GB2312" w:hAnsi="仿宋_GB2312" w:eastAsia="仿宋_GB2312" w:cs="仿宋_GB2312"/>
                <w:bCs/>
                <w:color w:val="000000"/>
                <w:kern w:val="0"/>
                <w:sz w:val="24"/>
                <w:szCs w:val="24"/>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r>
      <w:tr>
        <w:tblPrEx>
          <w:tblCellMar>
            <w:top w:w="0" w:type="dxa"/>
            <w:left w:w="108" w:type="dxa"/>
            <w:bottom w:w="0" w:type="dxa"/>
            <w:right w:w="108" w:type="dxa"/>
          </w:tblCellMar>
        </w:tblPrEx>
        <w:trPr>
          <w:trHeight w:val="510" w:hRule="atLeast"/>
        </w:trPr>
        <w:tc>
          <w:tcPr>
            <w:tcW w:w="20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rPr>
              <w:t xml:space="preserve">累 </w:t>
            </w:r>
            <w:r>
              <w:rPr>
                <w:rFonts w:hint="eastAsia" w:hAnsi="仿宋_GB2312" w:cs="仿宋_GB2312"/>
                <w:bCs/>
                <w:color w:val="000000"/>
                <w:kern w:val="0"/>
                <w:sz w:val="24"/>
                <w:szCs w:val="24"/>
                <w:highlight w:val="none"/>
              </w:rPr>
              <w:t xml:space="preserve"> </w:t>
            </w:r>
            <w:r>
              <w:rPr>
                <w:rFonts w:hint="eastAsia" w:ascii="仿宋_GB2312" w:hAnsi="仿宋_GB2312" w:eastAsia="仿宋_GB2312" w:cs="仿宋_GB2312"/>
                <w:bCs/>
                <w:color w:val="000000"/>
                <w:kern w:val="0"/>
                <w:sz w:val="24"/>
                <w:szCs w:val="24"/>
                <w:highlight w:val="none"/>
              </w:rPr>
              <w:t>计</w:t>
            </w:r>
          </w:p>
        </w:tc>
        <w:tc>
          <w:tcPr>
            <w:tcW w:w="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887" w:type="dxa"/>
            <w:tcBorders>
              <w:top w:val="single" w:color="auto" w:sz="4" w:space="0"/>
              <w:left w:val="single" w:color="auto" w:sz="4" w:space="0"/>
              <w:bottom w:val="single" w:color="auto" w:sz="4" w:space="0"/>
              <w:right w:val="single" w:color="auto" w:sz="4" w:space="0"/>
            </w:tcBorders>
          </w:tcPr>
          <w:p>
            <w:pPr>
              <w:keepNext w:val="0"/>
              <w:keepLines w:val="0"/>
              <w:widowControl/>
              <w:kinsoku/>
              <w:wordWrap/>
              <w:overflowPunct/>
              <w:topLinePunct w:val="0"/>
              <w:bidi w:val="0"/>
              <w:spacing w:line="590" w:lineRule="exact"/>
              <w:jc w:val="left"/>
              <w:rPr>
                <w:rFonts w:ascii="仿宋_GB2312" w:hAnsi="仿宋_GB2312" w:eastAsia="仿宋_GB2312" w:cs="仿宋_GB2312"/>
                <w:bCs/>
                <w:color w:val="000000"/>
                <w:kern w:val="0"/>
                <w:sz w:val="24"/>
                <w:szCs w:val="24"/>
                <w:highlight w:val="none"/>
              </w:rPr>
            </w:pPr>
          </w:p>
        </w:tc>
        <w:tc>
          <w:tcPr>
            <w:tcW w:w="641" w:type="dxa"/>
            <w:tcBorders>
              <w:top w:val="single" w:color="auto" w:sz="4" w:space="0"/>
              <w:left w:val="single" w:color="auto" w:sz="4" w:space="0"/>
              <w:bottom w:val="single" w:color="auto" w:sz="4" w:space="0"/>
              <w:right w:val="single" w:color="auto" w:sz="4" w:space="0"/>
            </w:tcBorders>
          </w:tcPr>
          <w:p>
            <w:pPr>
              <w:keepNext w:val="0"/>
              <w:keepLines w:val="0"/>
              <w:widowControl/>
              <w:kinsoku/>
              <w:wordWrap/>
              <w:overflowPunct/>
              <w:topLinePunct w:val="0"/>
              <w:bidi w:val="0"/>
              <w:spacing w:line="590" w:lineRule="exact"/>
              <w:jc w:val="left"/>
              <w:rPr>
                <w:rFonts w:ascii="仿宋_GB2312" w:hAnsi="仿宋_GB2312" w:eastAsia="仿宋_GB2312" w:cs="仿宋_GB2312"/>
                <w:bCs/>
                <w:color w:val="000000"/>
                <w:kern w:val="0"/>
                <w:sz w:val="24"/>
                <w:szCs w:val="24"/>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6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ascii="仿宋_GB2312" w:hAnsi="仿宋_GB2312" w:eastAsia="仿宋_GB2312" w:cs="仿宋_GB2312"/>
                <w:bCs/>
                <w:color w:val="000000"/>
                <w:kern w:val="0"/>
                <w:sz w:val="24"/>
                <w:szCs w:val="24"/>
                <w:highlight w:val="none"/>
              </w:rPr>
            </w:pPr>
            <w:r>
              <w:rPr>
                <w:rFonts w:hint="eastAsia" w:ascii="仿宋_GB2312" w:hAnsi="仿宋_GB2312" w:eastAsia="仿宋_GB2312" w:cs="仿宋_GB2312"/>
                <w:bCs/>
                <w:color w:val="000000"/>
                <w:kern w:val="0"/>
                <w:sz w:val="24"/>
                <w:szCs w:val="24"/>
                <w:highlight w:val="none"/>
                <w:lang w:val="en-US" w:eastAsia="zh-CN"/>
              </w:rPr>
              <w:t>/</w:t>
            </w:r>
          </w:p>
        </w:tc>
      </w:tr>
    </w:tbl>
    <w:p>
      <w:pPr>
        <w:keepNext w:val="0"/>
        <w:keepLines w:val="0"/>
        <w:kinsoku/>
        <w:wordWrap/>
        <w:overflowPunct/>
        <w:topLinePunct w:val="0"/>
        <w:bidi w:val="0"/>
        <w:spacing w:line="59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注：1.本表只填写省级财政科技资金购置的设备；</w:t>
      </w:r>
    </w:p>
    <w:p>
      <w:pPr>
        <w:keepNext w:val="0"/>
        <w:keepLines w:val="0"/>
        <w:kinsoku/>
        <w:wordWrap/>
        <w:overflowPunct/>
        <w:topLinePunct w:val="0"/>
        <w:bidi w:val="0"/>
        <w:spacing w:line="590" w:lineRule="exact"/>
        <w:ind w:firstLine="960" w:firstLineChars="4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2.单价20万元以下的设备不填写明细。</w:t>
      </w:r>
    </w:p>
    <w:p>
      <w:pPr>
        <w:keepNext w:val="0"/>
        <w:keepLines w:val="0"/>
        <w:kinsoku/>
        <w:wordWrap/>
        <w:overflowPunct/>
        <w:topLinePunct w:val="0"/>
        <w:bidi w:val="0"/>
        <w:spacing w:line="590" w:lineRule="exact"/>
        <w:rPr>
          <w:rFonts w:ascii="黑体" w:hAnsi="黑体" w:eastAsia="黑体" w:cs="黑体"/>
          <w:kern w:val="0"/>
          <w:sz w:val="30"/>
          <w:szCs w:val="30"/>
          <w:highlight w:val="none"/>
        </w:rPr>
      </w:pPr>
      <w:r>
        <w:rPr>
          <w:rFonts w:hint="eastAsia" w:ascii="仿宋_GB2312" w:hAnsi="仿宋_GB2312" w:eastAsia="仿宋_GB2312" w:cs="仿宋_GB2312"/>
          <w:sz w:val="30"/>
          <w:szCs w:val="30"/>
          <w:highlight w:val="none"/>
        </w:rPr>
        <w:br w:type="page"/>
      </w:r>
      <w:r>
        <w:rPr>
          <w:rFonts w:hint="eastAsia" w:ascii="黑体" w:hAnsi="黑体" w:eastAsia="黑体" w:cs="黑体"/>
          <w:kern w:val="0"/>
          <w:sz w:val="30"/>
          <w:szCs w:val="30"/>
          <w:highlight w:val="none"/>
        </w:rPr>
        <w:t>附表1-2</w:t>
      </w:r>
    </w:p>
    <w:p>
      <w:pPr>
        <w:keepNext w:val="0"/>
        <w:keepLines w:val="0"/>
        <w:kinsoku/>
        <w:wordWrap/>
        <w:overflowPunct/>
        <w:topLinePunct w:val="0"/>
        <w:bidi w:val="0"/>
        <w:spacing w:line="590" w:lineRule="exact"/>
        <w:rPr>
          <w:rFonts w:ascii="仿宋_GB2312" w:hAnsi="仿宋_GB2312" w:eastAsia="仿宋_GB2312" w:cs="仿宋_GB2312"/>
          <w:sz w:val="30"/>
          <w:szCs w:val="30"/>
          <w:highlight w:val="none"/>
        </w:rPr>
      </w:pPr>
    </w:p>
    <w:p>
      <w:pPr>
        <w:keepNext w:val="0"/>
        <w:keepLines w:val="0"/>
        <w:kinsoku/>
        <w:wordWrap/>
        <w:overflowPunct/>
        <w:topLinePunct w:val="0"/>
        <w:autoSpaceDE w:val="0"/>
        <w:autoSpaceDN w:val="0"/>
        <w:bidi w:val="0"/>
        <w:spacing w:line="590" w:lineRule="exact"/>
        <w:jc w:val="center"/>
        <w:rPr>
          <w:rFonts w:ascii="仿宋_GB2312" w:hAnsi="仿宋_GB2312" w:eastAsia="仿宋_GB2312" w:cs="仿宋_GB2312"/>
          <w:sz w:val="30"/>
          <w:szCs w:val="30"/>
          <w:highlight w:val="none"/>
        </w:rPr>
      </w:pPr>
      <w:r>
        <w:rPr>
          <w:rFonts w:hint="eastAsia" w:ascii="方正小标宋简体" w:hAnsi="方正小标宋简体" w:eastAsia="方正小标宋简体" w:cs="方正小标宋简体"/>
          <w:bCs/>
          <w:kern w:val="0"/>
          <w:sz w:val="36"/>
          <w:szCs w:val="36"/>
          <w:highlight w:val="none"/>
        </w:rPr>
        <w:t>科技计划项目承担单位（合作）资金支出预算明细表</w:t>
      </w:r>
      <w:r>
        <w:rPr>
          <w:rFonts w:hint="eastAsia" w:ascii="仿宋_GB2312" w:hAnsi="仿宋_GB2312" w:eastAsia="仿宋_GB2312" w:cs="仿宋_GB2312"/>
          <w:b/>
          <w:bCs/>
          <w:sz w:val="30"/>
          <w:szCs w:val="30"/>
          <w:highlight w:val="none"/>
        </w:rPr>
        <w:t xml:space="preserve">                                                                      </w:t>
      </w:r>
      <w:r>
        <w:rPr>
          <w:rFonts w:hint="eastAsia" w:ascii="仿宋_GB2312" w:hAnsi="仿宋_GB2312" w:eastAsia="仿宋_GB2312" w:cs="仿宋_GB2312"/>
          <w:sz w:val="30"/>
          <w:szCs w:val="30"/>
          <w:highlight w:val="none"/>
        </w:rPr>
        <w:t xml:space="preserve"> 金额单位：万元</w:t>
      </w:r>
    </w:p>
    <w:tbl>
      <w:tblPr>
        <w:tblStyle w:val="1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444"/>
        <w:gridCol w:w="1328"/>
        <w:gridCol w:w="486"/>
        <w:gridCol w:w="1071"/>
        <w:gridCol w:w="948"/>
        <w:gridCol w:w="1295"/>
        <w:gridCol w:w="618"/>
        <w:gridCol w:w="772"/>
        <w:gridCol w:w="7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57" w:type="dxa"/>
            <w:vMerge w:val="restart"/>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序号</w:t>
            </w:r>
          </w:p>
        </w:tc>
        <w:tc>
          <w:tcPr>
            <w:tcW w:w="1444" w:type="dxa"/>
            <w:vMerge w:val="restart"/>
            <w:tcBorders>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单位名称</w:t>
            </w:r>
          </w:p>
        </w:tc>
        <w:tc>
          <w:tcPr>
            <w:tcW w:w="1328" w:type="dxa"/>
            <w:vMerge w:val="restart"/>
            <w:tcBorders>
              <w:lef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统一社会信用代码</w:t>
            </w:r>
          </w:p>
        </w:tc>
        <w:tc>
          <w:tcPr>
            <w:tcW w:w="486" w:type="dxa"/>
            <w:vMerge w:val="restart"/>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单位</w:t>
            </w:r>
          </w:p>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类型</w:t>
            </w:r>
          </w:p>
        </w:tc>
        <w:tc>
          <w:tcPr>
            <w:tcW w:w="1071" w:type="dxa"/>
            <w:vMerge w:val="restart"/>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任务分工</w:t>
            </w:r>
          </w:p>
        </w:tc>
        <w:tc>
          <w:tcPr>
            <w:tcW w:w="948" w:type="dxa"/>
            <w:vMerge w:val="restart"/>
            <w:tcBorders>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研究任务负责人</w:t>
            </w:r>
          </w:p>
        </w:tc>
        <w:tc>
          <w:tcPr>
            <w:tcW w:w="1295" w:type="dxa"/>
            <w:vMerge w:val="restart"/>
            <w:tcBorders>
              <w:left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合计</w:t>
            </w:r>
          </w:p>
        </w:tc>
        <w:tc>
          <w:tcPr>
            <w:tcW w:w="1390" w:type="dxa"/>
            <w:gridSpan w:val="2"/>
            <w:tcBorders>
              <w:left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省级财政资金</w:t>
            </w:r>
          </w:p>
        </w:tc>
        <w:tc>
          <w:tcPr>
            <w:tcW w:w="748" w:type="dxa"/>
            <w:vMerge w:val="restart"/>
            <w:tcBorders>
              <w:lef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其他来源资金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57" w:type="dxa"/>
            <w:vMerge w:val="continue"/>
            <w:vAlign w:val="center"/>
          </w:tcPr>
          <w:p>
            <w:pPr>
              <w:keepNext w:val="0"/>
              <w:keepLines w:val="0"/>
              <w:widowControl/>
              <w:kinsoku/>
              <w:wordWrap/>
              <w:overflowPunct/>
              <w:topLinePunct w:val="0"/>
              <w:bidi w:val="0"/>
              <w:spacing w:line="590" w:lineRule="exact"/>
              <w:jc w:val="center"/>
              <w:rPr>
                <w:rFonts w:hint="eastAsia" w:ascii="黑体" w:hAnsi="黑体" w:eastAsia="黑体" w:cs="黑体"/>
                <w:bCs/>
                <w:kern w:val="0"/>
                <w:sz w:val="24"/>
                <w:szCs w:val="24"/>
                <w:highlight w:val="none"/>
              </w:rPr>
            </w:pPr>
          </w:p>
        </w:tc>
        <w:tc>
          <w:tcPr>
            <w:tcW w:w="1444" w:type="dxa"/>
            <w:vMerge w:val="continue"/>
            <w:tcBorders>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黑体" w:hAnsi="黑体" w:eastAsia="黑体" w:cs="黑体"/>
                <w:bCs/>
                <w:kern w:val="0"/>
                <w:sz w:val="24"/>
                <w:szCs w:val="24"/>
                <w:highlight w:val="none"/>
              </w:rPr>
            </w:pPr>
          </w:p>
        </w:tc>
        <w:tc>
          <w:tcPr>
            <w:tcW w:w="1328" w:type="dxa"/>
            <w:vMerge w:val="continue"/>
            <w:tcBorders>
              <w:left w:val="single" w:color="auto" w:sz="4" w:space="0"/>
            </w:tcBorders>
            <w:vAlign w:val="center"/>
          </w:tcPr>
          <w:p>
            <w:pPr>
              <w:keepNext w:val="0"/>
              <w:keepLines w:val="0"/>
              <w:widowControl/>
              <w:kinsoku/>
              <w:wordWrap/>
              <w:overflowPunct/>
              <w:topLinePunct w:val="0"/>
              <w:bidi w:val="0"/>
              <w:spacing w:line="590" w:lineRule="exact"/>
              <w:jc w:val="center"/>
              <w:rPr>
                <w:rFonts w:hint="eastAsia" w:ascii="黑体" w:hAnsi="黑体" w:eastAsia="黑体" w:cs="黑体"/>
                <w:bCs/>
                <w:kern w:val="0"/>
                <w:sz w:val="24"/>
                <w:szCs w:val="24"/>
                <w:highlight w:val="none"/>
              </w:rPr>
            </w:pPr>
          </w:p>
        </w:tc>
        <w:tc>
          <w:tcPr>
            <w:tcW w:w="486" w:type="dxa"/>
            <w:vMerge w:val="continue"/>
            <w:vAlign w:val="center"/>
          </w:tcPr>
          <w:p>
            <w:pPr>
              <w:keepNext w:val="0"/>
              <w:keepLines w:val="0"/>
              <w:widowControl/>
              <w:kinsoku/>
              <w:wordWrap/>
              <w:overflowPunct/>
              <w:topLinePunct w:val="0"/>
              <w:bidi w:val="0"/>
              <w:spacing w:line="590" w:lineRule="exact"/>
              <w:jc w:val="center"/>
              <w:rPr>
                <w:rFonts w:hint="eastAsia" w:ascii="黑体" w:hAnsi="黑体" w:eastAsia="黑体" w:cs="黑体"/>
                <w:bCs/>
                <w:kern w:val="0"/>
                <w:sz w:val="24"/>
                <w:szCs w:val="24"/>
                <w:highlight w:val="none"/>
              </w:rPr>
            </w:pPr>
          </w:p>
        </w:tc>
        <w:tc>
          <w:tcPr>
            <w:tcW w:w="1071" w:type="dxa"/>
            <w:vMerge w:val="continue"/>
            <w:vAlign w:val="center"/>
          </w:tcPr>
          <w:p>
            <w:pPr>
              <w:keepNext w:val="0"/>
              <w:keepLines w:val="0"/>
              <w:widowControl/>
              <w:kinsoku/>
              <w:wordWrap/>
              <w:overflowPunct/>
              <w:topLinePunct w:val="0"/>
              <w:bidi w:val="0"/>
              <w:spacing w:line="590" w:lineRule="exact"/>
              <w:jc w:val="center"/>
              <w:rPr>
                <w:rFonts w:hint="eastAsia" w:ascii="黑体" w:hAnsi="黑体" w:eastAsia="黑体" w:cs="黑体"/>
                <w:bCs/>
                <w:kern w:val="0"/>
                <w:sz w:val="24"/>
                <w:szCs w:val="24"/>
                <w:highlight w:val="none"/>
              </w:rPr>
            </w:pPr>
          </w:p>
        </w:tc>
        <w:tc>
          <w:tcPr>
            <w:tcW w:w="948" w:type="dxa"/>
            <w:vMerge w:val="continue"/>
            <w:tcBorders>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黑体" w:hAnsi="黑体" w:eastAsia="黑体" w:cs="黑体"/>
                <w:bCs/>
                <w:kern w:val="0"/>
                <w:sz w:val="24"/>
                <w:szCs w:val="24"/>
                <w:highlight w:val="none"/>
              </w:rPr>
            </w:pPr>
          </w:p>
        </w:tc>
        <w:tc>
          <w:tcPr>
            <w:tcW w:w="1295" w:type="dxa"/>
            <w:vMerge w:val="continue"/>
            <w:tcBorders>
              <w:left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黑体" w:hAnsi="黑体" w:eastAsia="黑体" w:cs="黑体"/>
                <w:bCs/>
                <w:kern w:val="0"/>
                <w:sz w:val="24"/>
                <w:szCs w:val="24"/>
                <w:highlight w:val="none"/>
              </w:rPr>
            </w:pPr>
          </w:p>
        </w:tc>
        <w:tc>
          <w:tcPr>
            <w:tcW w:w="618" w:type="dxa"/>
            <w:tcBorders>
              <w:left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小计</w:t>
            </w:r>
          </w:p>
        </w:tc>
        <w:tc>
          <w:tcPr>
            <w:tcW w:w="772" w:type="dxa"/>
            <w:tcBorders>
              <w:left w:val="single" w:color="auto" w:sz="4" w:space="0"/>
              <w:right w:val="single" w:color="auto" w:sz="4" w:space="0"/>
            </w:tcBorders>
            <w:vAlign w:val="center"/>
          </w:tcPr>
          <w:p>
            <w:pPr>
              <w:keepNext w:val="0"/>
              <w:keepLines w:val="0"/>
              <w:widowControl/>
              <w:kinsoku/>
              <w:wordWrap/>
              <w:overflowPunct/>
              <w:topLinePunct w:val="0"/>
              <w:bidi w:val="0"/>
              <w:spacing w:line="590" w:lineRule="exact"/>
              <w:jc w:val="center"/>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其中：间接费用</w:t>
            </w:r>
          </w:p>
        </w:tc>
        <w:tc>
          <w:tcPr>
            <w:tcW w:w="748" w:type="dxa"/>
            <w:vMerge w:val="continue"/>
            <w:tcBorders>
              <w:lef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57" w:type="dxa"/>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1444" w:type="dxa"/>
            <w:tcBorders>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1328" w:type="dxa"/>
            <w:tcBorders>
              <w:lef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486" w:type="dxa"/>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1071" w:type="dxa"/>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948" w:type="dxa"/>
            <w:tcBorders>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1295" w:type="dxa"/>
            <w:tcBorders>
              <w:left w:val="single" w:color="auto" w:sz="4" w:space="0"/>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618" w:type="dxa"/>
            <w:tcBorders>
              <w:left w:val="single" w:color="auto" w:sz="4" w:space="0"/>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772" w:type="dxa"/>
            <w:tcBorders>
              <w:left w:val="single" w:color="auto" w:sz="4" w:space="0"/>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748" w:type="dxa"/>
            <w:tcBorders>
              <w:lef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57" w:type="dxa"/>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1444" w:type="dxa"/>
            <w:tcBorders>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1328" w:type="dxa"/>
            <w:tcBorders>
              <w:lef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486" w:type="dxa"/>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1071" w:type="dxa"/>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948" w:type="dxa"/>
            <w:tcBorders>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1295" w:type="dxa"/>
            <w:tcBorders>
              <w:left w:val="single" w:color="auto" w:sz="4" w:space="0"/>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618" w:type="dxa"/>
            <w:tcBorders>
              <w:left w:val="single" w:color="auto" w:sz="4" w:space="0"/>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772" w:type="dxa"/>
            <w:tcBorders>
              <w:left w:val="single" w:color="auto" w:sz="4" w:space="0"/>
              <w:righ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c>
          <w:tcPr>
            <w:tcW w:w="748" w:type="dxa"/>
            <w:tcBorders>
              <w:left w:val="single" w:color="auto" w:sz="4" w:space="0"/>
            </w:tcBorders>
            <w:vAlign w:val="center"/>
          </w:tcPr>
          <w:p>
            <w:pPr>
              <w:keepNext w:val="0"/>
              <w:keepLines w:val="0"/>
              <w:kinsoku/>
              <w:wordWrap/>
              <w:overflowPunct/>
              <w:topLinePunct w:val="0"/>
              <w:autoSpaceDE w:val="0"/>
              <w:autoSpaceDN w:val="0"/>
              <w:bidi w:val="0"/>
              <w:adjustRightInd w:val="0"/>
              <w:snapToGrid w:val="0"/>
              <w:spacing w:line="590" w:lineRule="exact"/>
              <w:jc w:val="center"/>
              <w:rPr>
                <w:rFonts w:ascii="仿宋_GB2312" w:hAnsi="仿宋_GB2312" w:eastAsia="仿宋_GB2312" w:cs="仿宋_GB2312"/>
                <w:sz w:val="30"/>
                <w:szCs w:val="3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734" w:type="dxa"/>
            <w:gridSpan w:val="6"/>
            <w:tcBorders>
              <w:right w:val="single" w:color="auto" w:sz="4" w:space="0"/>
            </w:tcBorders>
            <w:vAlign w:val="center"/>
          </w:tcPr>
          <w:p>
            <w:pPr>
              <w:keepNext w:val="0"/>
              <w:keepLines w:val="0"/>
              <w:kinsoku/>
              <w:wordWrap/>
              <w:overflowPunct/>
              <w:topLinePunct w:val="0"/>
              <w:bidi w:val="0"/>
              <w:spacing w:line="590" w:lineRule="exact"/>
              <w:jc w:val="center"/>
              <w:rPr>
                <w:highlight w:val="none"/>
              </w:rPr>
            </w:pPr>
            <w:r>
              <w:rPr>
                <w:rFonts w:hint="eastAsia" w:ascii="仿宋_GB2312" w:hAnsi="仿宋_GB2312" w:eastAsia="仿宋_GB2312" w:cs="仿宋_GB2312"/>
                <w:sz w:val="30"/>
                <w:szCs w:val="30"/>
                <w:highlight w:val="none"/>
              </w:rPr>
              <w:t>累计</w:t>
            </w:r>
          </w:p>
        </w:tc>
        <w:tc>
          <w:tcPr>
            <w:tcW w:w="1295" w:type="dxa"/>
            <w:tcBorders>
              <w:left w:val="single" w:color="auto" w:sz="4" w:space="0"/>
              <w:right w:val="single" w:color="auto" w:sz="4" w:space="0"/>
            </w:tcBorders>
            <w:vAlign w:val="center"/>
          </w:tcPr>
          <w:p>
            <w:pPr>
              <w:keepNext w:val="0"/>
              <w:keepLines w:val="0"/>
              <w:kinsoku/>
              <w:wordWrap/>
              <w:overflowPunct/>
              <w:topLinePunct w:val="0"/>
              <w:bidi w:val="0"/>
              <w:spacing w:line="590" w:lineRule="exact"/>
              <w:rPr>
                <w:highlight w:val="none"/>
              </w:rPr>
            </w:pPr>
          </w:p>
        </w:tc>
        <w:tc>
          <w:tcPr>
            <w:tcW w:w="618" w:type="dxa"/>
            <w:tcBorders>
              <w:left w:val="single" w:color="auto" w:sz="4" w:space="0"/>
              <w:right w:val="single" w:color="auto" w:sz="4" w:space="0"/>
            </w:tcBorders>
            <w:vAlign w:val="center"/>
          </w:tcPr>
          <w:p>
            <w:pPr>
              <w:keepNext w:val="0"/>
              <w:keepLines w:val="0"/>
              <w:kinsoku/>
              <w:wordWrap/>
              <w:overflowPunct/>
              <w:topLinePunct w:val="0"/>
              <w:bidi w:val="0"/>
              <w:spacing w:line="590" w:lineRule="exact"/>
              <w:rPr>
                <w:highlight w:val="none"/>
              </w:rPr>
            </w:pPr>
          </w:p>
        </w:tc>
        <w:tc>
          <w:tcPr>
            <w:tcW w:w="772" w:type="dxa"/>
            <w:tcBorders>
              <w:left w:val="single" w:color="auto" w:sz="4" w:space="0"/>
              <w:right w:val="single" w:color="auto" w:sz="4" w:space="0"/>
            </w:tcBorders>
            <w:vAlign w:val="center"/>
          </w:tcPr>
          <w:p>
            <w:pPr>
              <w:keepNext w:val="0"/>
              <w:keepLines w:val="0"/>
              <w:kinsoku/>
              <w:wordWrap/>
              <w:overflowPunct/>
              <w:topLinePunct w:val="0"/>
              <w:bidi w:val="0"/>
              <w:spacing w:line="590" w:lineRule="exact"/>
              <w:rPr>
                <w:highlight w:val="none"/>
              </w:rPr>
            </w:pPr>
          </w:p>
        </w:tc>
        <w:tc>
          <w:tcPr>
            <w:tcW w:w="748" w:type="dxa"/>
            <w:tcBorders>
              <w:left w:val="single" w:color="auto" w:sz="4" w:space="0"/>
            </w:tcBorders>
            <w:vAlign w:val="center"/>
          </w:tcPr>
          <w:p>
            <w:pPr>
              <w:keepNext w:val="0"/>
              <w:keepLines w:val="0"/>
              <w:kinsoku/>
              <w:wordWrap/>
              <w:overflowPunct/>
              <w:topLinePunct w:val="0"/>
              <w:bidi w:val="0"/>
              <w:spacing w:line="590" w:lineRule="exact"/>
              <w:rPr>
                <w:highlight w:val="none"/>
              </w:rPr>
            </w:pPr>
          </w:p>
        </w:tc>
      </w:tr>
    </w:tbl>
    <w:p>
      <w:pPr>
        <w:keepNext w:val="0"/>
        <w:keepLines w:val="0"/>
        <w:kinsoku/>
        <w:wordWrap/>
        <w:overflowPunct/>
        <w:topLinePunct w:val="0"/>
        <w:bidi w:val="0"/>
        <w:spacing w:line="59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注：1.单位类型为项目承担单位、项目参加单位；</w:t>
      </w:r>
    </w:p>
    <w:p>
      <w:pPr>
        <w:keepNext w:val="0"/>
        <w:keepLines w:val="0"/>
        <w:kinsoku/>
        <w:wordWrap/>
        <w:overflowPunct/>
        <w:topLinePunct w:val="0"/>
        <w:bidi w:val="0"/>
        <w:spacing w:line="590" w:lineRule="exact"/>
        <w:ind w:firstLine="720" w:firstLineChars="3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2.任务分工的描述应简洁，不超过300字。</w:t>
      </w:r>
    </w:p>
    <w:p>
      <w:pPr>
        <w:keepNext w:val="0"/>
        <w:keepLines w:val="0"/>
        <w:widowControl/>
        <w:kinsoku/>
        <w:wordWrap/>
        <w:overflowPunct/>
        <w:topLinePunct w:val="0"/>
        <w:bidi w:val="0"/>
        <w:adjustRightInd w:val="0"/>
        <w:snapToGrid w:val="0"/>
        <w:spacing w:line="590" w:lineRule="exact"/>
        <w:ind w:firstLine="600" w:firstLineChars="200"/>
        <w:jc w:val="left"/>
        <w:rPr>
          <w:rFonts w:hint="eastAsia" w:ascii="黑体" w:hAnsi="黑体" w:eastAsia="黑体" w:cs="黑体"/>
          <w:sz w:val="30"/>
          <w:szCs w:val="30"/>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hint="eastAsia" w:ascii="仿宋_GB2312" w:hAnsi="仿宋_GB2312" w:eastAsia="黑体" w:cs="仿宋_GB2312"/>
          <w:sz w:val="32"/>
          <w:szCs w:val="32"/>
          <w:highlight w:val="none"/>
        </w:rPr>
        <w:sectPr>
          <w:headerReference r:id="rId3" w:type="default"/>
          <w:footerReference r:id="rId5" w:type="default"/>
          <w:headerReference r:id="rId4" w:type="even"/>
          <w:footerReference r:id="rId6" w:type="even"/>
          <w:pgSz w:w="11906" w:h="16838"/>
          <w:pgMar w:top="1984" w:right="1474" w:bottom="1871" w:left="1474" w:header="851" w:footer="1474" w:gutter="0"/>
          <w:pgBorders>
            <w:top w:val="none" w:sz="0" w:space="0"/>
            <w:left w:val="none" w:sz="0" w:space="0"/>
            <w:bottom w:val="none" w:sz="0" w:space="0"/>
            <w:right w:val="none" w:sz="0" w:space="0"/>
          </w:pgBorders>
          <w:cols w:space="708" w:num="1"/>
          <w:docGrid w:type="lines" w:linePitch="573" w:charSpace="0"/>
        </w:sectPr>
      </w:pPr>
      <w:r>
        <w:rPr>
          <w:rFonts w:hint="eastAsia" w:ascii="黑体" w:hAnsi="黑体" w:eastAsia="黑体" w:cs="黑体"/>
          <w:sz w:val="32"/>
          <w:szCs w:val="32"/>
          <w:highlight w:val="none"/>
        </w:rPr>
        <w:t>四、项目资金预算可行性评价：</w:t>
      </w:r>
    </w:p>
    <w:p>
      <w:pPr>
        <w:keepNext w:val="0"/>
        <w:keepLines w:val="0"/>
        <w:kinsoku/>
        <w:wordWrap/>
        <w:overflowPunct/>
        <w:topLinePunct w:val="0"/>
        <w:bidi w:val="0"/>
        <w:spacing w:line="590" w:lineRule="exact"/>
        <w:rPr>
          <w:rFonts w:ascii="仿宋_GB2312" w:hAnsi="仿宋_GB2312" w:eastAsia="仿宋_GB2312" w:cs="仿宋_GB2312"/>
          <w:sz w:val="30"/>
          <w:szCs w:val="30"/>
          <w:highlight w:val="none"/>
        </w:rPr>
      </w:pPr>
      <w:r>
        <w:rPr>
          <w:rFonts w:hint="eastAsia" w:ascii="黑体" w:hAnsi="黑体" w:eastAsia="黑体" w:cs="黑体"/>
          <w:kern w:val="0"/>
          <w:sz w:val="30"/>
          <w:szCs w:val="30"/>
          <w:highlight w:val="none"/>
        </w:rPr>
        <w:t>附件3</w:t>
      </w:r>
    </w:p>
    <w:p>
      <w:pPr>
        <w:pStyle w:val="2"/>
        <w:keepNext w:val="0"/>
        <w:keepLines w:val="0"/>
        <w:kinsoku/>
        <w:wordWrap/>
        <w:overflowPunct/>
        <w:topLinePunct w:val="0"/>
        <w:bidi w:val="0"/>
        <w:spacing w:line="590" w:lineRule="exact"/>
        <w:ind w:firstLine="424"/>
        <w:rPr>
          <w:rFonts w:hint="eastAsia" w:ascii="Times New Roman" w:hAnsi="Times New Roman"/>
          <w:highlight w:val="none"/>
          <w:lang w:eastAsia="zh-CN"/>
        </w:rPr>
      </w:pPr>
    </w:p>
    <w:p>
      <w:pPr>
        <w:pStyle w:val="2"/>
        <w:keepNext w:val="0"/>
        <w:keepLines w:val="0"/>
        <w:kinsoku/>
        <w:wordWrap/>
        <w:overflowPunct/>
        <w:topLinePunct w:val="0"/>
        <w:bidi w:val="0"/>
        <w:spacing w:line="590" w:lineRule="exact"/>
        <w:ind w:firstLine="419" w:firstLineChars="198"/>
        <w:rPr>
          <w:rFonts w:hint="eastAsia" w:ascii="Times New Roman" w:hAnsi="Times New Roman"/>
          <w:highlight w:val="none"/>
          <w:lang w:eastAsia="zh-CN"/>
        </w:rPr>
      </w:pPr>
    </w:p>
    <w:p>
      <w:pPr>
        <w:keepNext w:val="0"/>
        <w:keepLines w:val="0"/>
        <w:kinsoku/>
        <w:wordWrap/>
        <w:overflowPunct/>
        <w:topLinePunct w:val="0"/>
        <w:bidi w:val="0"/>
        <w:spacing w:line="590" w:lineRule="exact"/>
        <w:jc w:val="center"/>
        <w:rPr>
          <w:rFonts w:hint="eastAsia" w:ascii="方正小标宋简体" w:hAnsi="方正小标宋简体" w:eastAsia="方正小标宋简体" w:cs="方正小标宋简体"/>
          <w:bCs/>
          <w:kern w:val="0"/>
          <w:sz w:val="36"/>
          <w:szCs w:val="36"/>
          <w:highlight w:val="none"/>
        </w:rPr>
      </w:pPr>
      <w:r>
        <w:rPr>
          <w:rFonts w:hint="eastAsia" w:ascii="方正小标宋简体" w:hAnsi="方正小标宋简体" w:eastAsia="方正小标宋简体" w:cs="方正小标宋简体"/>
          <w:bCs/>
          <w:kern w:val="0"/>
          <w:sz w:val="36"/>
          <w:szCs w:val="36"/>
          <w:highlight w:val="none"/>
        </w:rPr>
        <w:t>配套资金承诺书（范本）</w:t>
      </w:r>
    </w:p>
    <w:p>
      <w:pPr>
        <w:pStyle w:val="2"/>
        <w:keepNext w:val="0"/>
        <w:keepLines w:val="0"/>
        <w:kinsoku/>
        <w:wordWrap/>
        <w:overflowPunct/>
        <w:topLinePunct w:val="0"/>
        <w:bidi w:val="0"/>
        <w:spacing w:line="590" w:lineRule="exact"/>
        <w:ind w:firstLine="424"/>
        <w:rPr>
          <w:rFonts w:ascii="Times New Roman" w:hAnsi="Times New Roman"/>
          <w:highlight w:val="none"/>
          <w:lang w:eastAsia="zh-CN"/>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hAnsi="宋体" w:eastAsia="仿宋_GB2312"/>
          <w:sz w:val="32"/>
          <w:szCs w:val="32"/>
          <w:highlight w:val="none"/>
          <w:u w:val="single"/>
        </w:rPr>
      </w:pPr>
      <w:r>
        <w:rPr>
          <w:rFonts w:hint="eastAsia" w:ascii="仿宋_GB2312" w:hAnsi="宋体" w:eastAsia="仿宋_GB2312"/>
          <w:sz w:val="32"/>
          <w:szCs w:val="32"/>
          <w:highlight w:val="none"/>
          <w:u w:val="single"/>
        </w:rPr>
        <w:t xml:space="preserve">                     </w:t>
      </w:r>
      <w:r>
        <w:rPr>
          <w:rFonts w:hint="eastAsia" w:ascii="仿宋_GB2312" w:eastAsia="仿宋_GB2312"/>
          <w:sz w:val="32"/>
          <w:szCs w:val="32"/>
          <w:highlight w:val="none"/>
        </w:rPr>
        <w:t>（单位全称）为实施</w:t>
      </w:r>
      <w:r>
        <w:rPr>
          <w:rFonts w:hint="eastAsia" w:ascii="仿宋_GB2312" w:hAnsi="宋体" w:eastAsia="仿宋_GB2312"/>
          <w:sz w:val="32"/>
          <w:szCs w:val="32"/>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ascii="仿宋_GB2312" w:hAnsi="宋体" w:eastAsia="仿宋_GB2312"/>
          <w:sz w:val="32"/>
          <w:szCs w:val="32"/>
          <w:highlight w:val="none"/>
          <w:u w:val="single"/>
        </w:rPr>
      </w:pPr>
      <w:r>
        <w:rPr>
          <w:rFonts w:hint="eastAsia" w:ascii="仿宋_GB2312" w:eastAsia="仿宋_GB2312"/>
          <w:sz w:val="32"/>
          <w:szCs w:val="32"/>
          <w:highlight w:val="none"/>
        </w:rPr>
        <w:t>项目，提供</w:t>
      </w:r>
      <w:r>
        <w:rPr>
          <w:rFonts w:hint="eastAsia" w:ascii="仿宋_GB2312" w:hAnsi="宋体" w:eastAsia="仿宋_GB2312"/>
          <w:sz w:val="32"/>
          <w:szCs w:val="32"/>
          <w:highlight w:val="none"/>
          <w:u w:val="single"/>
        </w:rPr>
        <w:t xml:space="preserve">        </w:t>
      </w:r>
      <w:r>
        <w:rPr>
          <w:rFonts w:hint="eastAsia" w:ascii="仿宋_GB2312" w:eastAsia="仿宋_GB2312"/>
          <w:sz w:val="32"/>
          <w:szCs w:val="32"/>
          <w:highlight w:val="none"/>
        </w:rPr>
        <w:t>万元的配套资金，资金来源为</w:t>
      </w:r>
      <w:r>
        <w:rPr>
          <w:rFonts w:hint="eastAsia" w:ascii="仿宋_GB2312" w:hAnsi="宋体" w:eastAsia="仿宋_GB2312"/>
          <w:sz w:val="32"/>
          <w:szCs w:val="32"/>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left"/>
        <w:textAlignment w:val="auto"/>
        <w:rPr>
          <w:rFonts w:hint="eastAsia" w:ascii="仿宋_GB2312" w:hAnsi="宋体" w:eastAsia="仿宋_GB2312"/>
          <w:sz w:val="32"/>
          <w:szCs w:val="32"/>
          <w:highlight w:val="none"/>
          <w:u w:val="single"/>
          <w:lang w:eastAsia="zh-CN"/>
        </w:rPr>
      </w:pPr>
      <w:r>
        <w:rPr>
          <w:rFonts w:hint="eastAsia" w:ascii="仿宋_GB2312" w:eastAsia="仿宋_GB2312"/>
          <w:sz w:val="32"/>
          <w:szCs w:val="32"/>
          <w:highlight w:val="none"/>
        </w:rPr>
        <w:t>（1.其他财政拨款  2.承担单位自有货币资金  3.银行贷款  4.其他资金）。</w:t>
      </w:r>
      <w:r>
        <w:rPr>
          <w:rFonts w:hint="eastAsia" w:ascii="仿宋_GB2312" w:eastAsia="仿宋_GB2312"/>
          <w:sz w:val="32"/>
          <w:szCs w:val="32"/>
          <w:highlight w:val="none"/>
          <w:lang w:eastAsia="zh-CN"/>
        </w:rPr>
        <w:t>若配套资金不能及时足额到位，本单位愿意全额退回财政科技项目资金，并接受失信惩戒。</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eastAsia="仿宋_GB2312"/>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此</w:t>
      </w:r>
      <w:r>
        <w:rPr>
          <w:rFonts w:hint="eastAsia" w:ascii="仿宋_GB2312" w:eastAsia="仿宋_GB2312"/>
          <w:sz w:val="32"/>
          <w:szCs w:val="32"/>
          <w:highlight w:val="none"/>
          <w:lang w:eastAsia="zh-CN"/>
        </w:rPr>
        <w:t>承诺</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eastAsia="仿宋_GB2312"/>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eastAsia="仿宋_GB2312"/>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textAlignment w:val="auto"/>
        <w:rPr>
          <w:rFonts w:ascii="仿宋_GB2312" w:eastAsia="仿宋_GB2312"/>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right"/>
        <w:textAlignment w:val="auto"/>
        <w:rPr>
          <w:rFonts w:ascii="仿宋_GB2312" w:eastAsia="仿宋_GB2312"/>
          <w:sz w:val="32"/>
          <w:szCs w:val="32"/>
          <w:highlight w:val="none"/>
        </w:rPr>
      </w:pPr>
      <w:r>
        <w:rPr>
          <w:rFonts w:hint="eastAsia" w:ascii="仿宋_GB2312" w:eastAsia="仿宋_GB2312"/>
          <w:sz w:val="32"/>
          <w:szCs w:val="32"/>
          <w:highlight w:val="none"/>
        </w:rPr>
        <w:t>出资单位（公章）</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right"/>
        <w:textAlignment w:val="auto"/>
        <w:rPr>
          <w:rFonts w:ascii="仿宋_GB2312" w:eastAsia="仿宋_GB2312"/>
          <w:sz w:val="32"/>
          <w:szCs w:val="32"/>
          <w:highlight w:val="none"/>
        </w:rPr>
      </w:pPr>
    </w:p>
    <w:p>
      <w:pPr>
        <w:keepNext w:val="0"/>
        <w:keepLines w:val="0"/>
        <w:pageBreakBefore w:val="0"/>
        <w:widowControl/>
        <w:tabs>
          <w:tab w:val="left" w:pos="7665"/>
        </w:tabs>
        <w:kinsoku/>
        <w:wordWrap/>
        <w:overflowPunct/>
        <w:topLinePunct w:val="0"/>
        <w:autoSpaceDE/>
        <w:autoSpaceDN/>
        <w:bidi w:val="0"/>
        <w:adjustRightInd w:val="0"/>
        <w:snapToGrid w:val="0"/>
        <w:spacing w:line="590" w:lineRule="exact"/>
        <w:ind w:firstLine="640" w:firstLineChars="200"/>
        <w:jc w:val="right"/>
        <w:textAlignment w:val="auto"/>
        <w:rPr>
          <w:rFonts w:hint="eastAsia" w:ascii="仿宋_GB2312" w:eastAsia="仿宋_GB2312"/>
          <w:sz w:val="32"/>
          <w:szCs w:val="32"/>
          <w:highlight w:val="none"/>
        </w:rPr>
      </w:pPr>
      <w:r>
        <w:rPr>
          <w:rFonts w:hint="eastAsia" w:ascii="仿宋_GB2312" w:eastAsia="仿宋_GB2312"/>
          <w:sz w:val="32"/>
          <w:szCs w:val="32"/>
          <w:highlight w:val="none"/>
        </w:rPr>
        <w:t>年    月    日</w:t>
      </w:r>
    </w:p>
    <w:p>
      <w:pPr>
        <w:pStyle w:val="2"/>
        <w:keepNext w:val="0"/>
        <w:keepLines w:val="0"/>
        <w:pageBreakBefore w:val="0"/>
        <w:widowControl/>
        <w:kinsoku/>
        <w:wordWrap/>
        <w:overflowPunct/>
        <w:topLinePunct w:val="0"/>
        <w:autoSpaceDE/>
        <w:autoSpaceDN/>
        <w:bidi w:val="0"/>
        <w:adjustRightInd w:val="0"/>
        <w:snapToGrid w:val="0"/>
        <w:spacing w:line="590" w:lineRule="exact"/>
        <w:ind w:firstLine="624" w:firstLineChars="200"/>
        <w:textAlignment w:val="auto"/>
        <w:rPr>
          <w:rFonts w:ascii="Times New Roman" w:hAnsi="Times New Roman"/>
          <w:sz w:val="32"/>
          <w:szCs w:val="32"/>
          <w:highlight w:val="none"/>
          <w:lang w:eastAsia="zh-CN"/>
        </w:rPr>
      </w:pPr>
    </w:p>
    <w:sectPr>
      <w:headerReference r:id="rId7" w:type="default"/>
      <w:footerReference r:id="rId9" w:type="default"/>
      <w:headerReference r:id="rId8" w:type="even"/>
      <w:footerReference r:id="rId10" w:type="even"/>
      <w:pgSz w:w="11906" w:h="16838"/>
      <w:pgMar w:top="1984" w:right="1474" w:bottom="1871" w:left="1474" w:header="851" w:footer="1474" w:gutter="0"/>
      <w:pgBorders>
        <w:top w:val="none" w:sz="0" w:space="0"/>
        <w:left w:val="none" w:sz="0" w:space="0"/>
        <w:bottom w:val="none" w:sz="0" w:space="0"/>
        <w:right w:val="none" w:sz="0" w:space="0"/>
      </w:pgBorders>
      <w:cols w:space="708" w:num="1"/>
      <w:docGrid w:type="lines" w:linePitch="5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Arial">
    <w:panose1 w:val="020B0604020202020204"/>
    <w:charset w:val="00"/>
    <w:family w:val="swiss"/>
    <w:pitch w:val="default"/>
    <w:sig w:usb0="E0002AFF" w:usb1="C0007843" w:usb2="00000009" w:usb3="00000000" w:csb0="400001FF" w:csb1="FFFF0000"/>
  </w:font>
  <w:font w:name="ˎ̥">
    <w:altName w:val="微软雅黑"/>
    <w:panose1 w:val="00000000000000000000"/>
    <w:charset w:val="00"/>
    <w:family w:val="roman"/>
    <w:pitch w:val="default"/>
    <w:sig w:usb0="00000000" w:usb1="00000000" w:usb2="00000000" w:usb3="00000000" w:csb0="00040001" w:csb1="00000000"/>
  </w:font>
  <w:font w:name="CG Times">
    <w:altName w:val="Segoe Print"/>
    <w:panose1 w:val="00000000000000000000"/>
    <w:charset w:val="00"/>
    <w:family w:val="roman"/>
    <w:pitch w:val="default"/>
    <w:sig w:usb0="00000000" w:usb1="00000000" w:usb2="00000000" w:usb3="00000000" w:csb0="00000001" w:csb1="00000000"/>
  </w:font>
  <w:font w:name="方正仿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s>
      <w:jc w:val="right"/>
      <w:rPr>
        <w:rFonts w:hAnsi="CG Times"/>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tabs>
                              <w:tab w:val="center" w:pos="4153"/>
                              <w:tab w:val="right" w:pos="8306"/>
                            </w:tabs>
                            <w:jc w:val="right"/>
                            <w:rPr>
                              <w:rFonts w:eastAsia="仿宋_GB2312"/>
                            </w:rPr>
                          </w:pPr>
                          <w:r>
                            <w:rPr>
                              <w:rFonts w:hint="eastAsia"/>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r>
                            <w:rPr>
                              <w:rFonts w:hint="eastAsia"/>
                            </w:rPr>
                            <w:t xml:space="preserve"> —</w:t>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0nsIBAABwAwAADgAAAGRycy9lMm9Eb2MueG1srVNBrtMwEN0jcQfL&#10;e+q0C1RFdb+Ar4+QECB9OIDr2I0l22PZbpNyALgBKzbsOVfPwdhp+j+wQ2yc8cz4zXszk83N6Cw5&#10;qpgMeE6Xi4YS5SV0xu85/fTx7tmakpSF74QFrzg9qURvtk+fbIbQqhX0YDsVCYL41A6B0z7n0DKW&#10;ZK+cSAsIymNQQ3Qi4zXuWRfFgOjOslXTPGcDxC5EkCol9N5OQbqt+Formd9rnVQmllPklusZ67kr&#10;J9tuRLuPIvRGXmiIf2DhhPFY9Ap1K7Igh2j+gnJGRkig80KCY6C1kapqQDXL5g81970IqmrB5qRw&#10;bVP6f7Dy3fFDJKbjdEWJFw5HdP729fz95/nHF7Is7RlCajHrPmBeHl/CiGOe/QmdRfWooytf1EMw&#10;jo0+XZurxkxkebRerdcNhiTG5gvis4fnIab8WoEjxeA04vRqU8XxbcpT6pxSqnm4M9bWCVr/mwMx&#10;i4cV7hPHYuVxN14E7aA7oR5cXKzTQ/xMyYBLwKnHLaXEvvHY47IvsxFnYzcbwkt8yGmmZDJf5Wmv&#10;DiGafY+4y0o+hReHjEyrgEJjqn1hh2OtLbisYNmbx/ea9fCjb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k/9J7CAQAAcAMAAA4AAAAAAAAAAQAgAAAAHgEAAGRycy9lMm9Eb2MueG1sUEsF&#10;BgAAAAAGAAYAWQEAAFIFAAAAAA==&#10;">
              <v:fill on="f" focussize="0,0"/>
              <v:stroke on="f"/>
              <v:imagedata o:title=""/>
              <o:lock v:ext="edit" aspectratio="f"/>
              <v:textbox inset="0mm,0mm,0mm,0mm" style="mso-fit-shape-to-text:t;">
                <w:txbxContent>
                  <w:p>
                    <w:pPr>
                      <w:pStyle w:val="13"/>
                      <w:tabs>
                        <w:tab w:val="center" w:pos="4153"/>
                        <w:tab w:val="right" w:pos="8306"/>
                      </w:tabs>
                      <w:jc w:val="right"/>
                      <w:rPr>
                        <w:rFonts w:eastAsia="仿宋_GB2312"/>
                      </w:rPr>
                    </w:pPr>
                    <w:r>
                      <w:rPr>
                        <w:rFonts w:hint="eastAsia"/>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r>
                      <w:rPr>
                        <w:rFonts w:hint="eastAsia"/>
                      </w:rPr>
                      <w:t xml:space="preserve"> —</w:t>
                    </w:r>
                  </w:p>
                </w:txbxContent>
              </v:textbox>
            </v:shape>
          </w:pict>
        </mc:Fallback>
      </mc:AlternateContent>
    </w:r>
  </w:p>
  <w:p>
    <w:pPr>
      <w:pStyle w:val="13"/>
      <w:tabs>
        <w:tab w:val="center" w:pos="4153"/>
        <w:tab w:val="right"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s>
      <w:rPr>
        <w:rFonts w:hAnsi="CG Times"/>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tabs>
                              <w:tab w:val="center" w:pos="4153"/>
                              <w:tab w:val="right" w:pos="8306"/>
                            </w:tabs>
                          </w:pPr>
                          <w:r>
                            <w:rPr>
                              <w:rFonts w:hint="eastAsia" w:hAnsi="CG Times"/>
                              <w:sz w:val="28"/>
                              <w:szCs w:val="28"/>
                            </w:rPr>
                            <w:fldChar w:fldCharType="begin"/>
                          </w:r>
                          <w:r>
                            <w:rPr>
                              <w:rFonts w:hint="eastAsia" w:hAnsi="CG Times"/>
                              <w:sz w:val="28"/>
                              <w:szCs w:val="28"/>
                            </w:rPr>
                            <w:instrText xml:space="preserve">PAGE   \* MERGEFORMAT</w:instrText>
                          </w:r>
                          <w:r>
                            <w:rPr>
                              <w:rFonts w:hint="eastAsia" w:hAnsi="CG Times"/>
                              <w:sz w:val="28"/>
                              <w:szCs w:val="28"/>
                            </w:rPr>
                            <w:fldChar w:fldCharType="separate"/>
                          </w:r>
                          <w:r>
                            <w:rPr>
                              <w:rFonts w:hAnsi="CG Times"/>
                              <w:sz w:val="28"/>
                              <w:szCs w:val="28"/>
                              <w:lang w:val="zh-CN"/>
                            </w:rPr>
                            <w:t>22</w:t>
                          </w:r>
                          <w:r>
                            <w:rPr>
                              <w:rFonts w:hint="eastAsia" w:hAnsi="CG Times"/>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65PsQBAABwAwAADgAAAGRycy9lMm9Eb2MueG1srVPBbhMxEL0j8Q+W&#10;72Q3qYSiVZwKqFpVQoBU+gGO185asj2W7WQ3fAD8AScu3PmufAdjbzal7a3i4h3PjN+8NzO7uhys&#10;IXsZogbH6HxWUyKdgFa7LaP3X6/fLCmJibuWG3CS0YOM9HL9+tWq941cQAemlYEgiItN7xntUvJN&#10;VUXRScvjDLx0GFQQLE94DduqDbxHdGuqRV2/rXoIrQ8gZIzovRqDdF3wlZIifVYqykQMo8gtlTOU&#10;c5PPar3izTZw32lxosFfwMJy7bDoGeqKJ052QT+DsloEiKDSTICtQCktZNGAaub1EzV3HfeyaMHm&#10;RH9uU/x/sOLT/ksgumX0ghLHLY7o+PPH8def4+/v5CK3p/exwaw7j3lpeA8DjnnyR3Rm1YMKNn9R&#10;D8E4Nvpwbq4cEhH50XKxXNYYEhibLohfPTz3IaYbCZZkg9GA0ytN5fuPMY2pU0qu5uBaG1MmaNwj&#10;B2JmT5W5jxyzlYbNcBK0gfaAenBxsU4H4RslPS4Bow63lBJz67DHeV8mI0zGZjK4E/iQ0UTJaH5I&#10;417tfNDbDnHnhXz073YJmRYBmcZY+8QOx1pacFrBvDf/3kvWw4+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d65PsQBAABwAwAADgAAAAAAAAABACAAAAAeAQAAZHJzL2Uyb0RvYy54bWxQ&#10;SwUGAAAAAAYABgBZAQAAVAUAAAAA&#10;">
              <v:fill on="f" focussize="0,0"/>
              <v:stroke on="f"/>
              <v:imagedata o:title=""/>
              <o:lock v:ext="edit" aspectratio="f"/>
              <v:textbox inset="0mm,0mm,0mm,0mm" style="mso-fit-shape-to-text:t;">
                <w:txbxContent>
                  <w:p>
                    <w:pPr>
                      <w:pStyle w:val="13"/>
                      <w:tabs>
                        <w:tab w:val="center" w:pos="4153"/>
                        <w:tab w:val="right" w:pos="8306"/>
                      </w:tabs>
                    </w:pPr>
                    <w:r>
                      <w:rPr>
                        <w:rFonts w:hint="eastAsia" w:hAnsi="CG Times"/>
                        <w:sz w:val="28"/>
                        <w:szCs w:val="28"/>
                      </w:rPr>
                      <w:fldChar w:fldCharType="begin"/>
                    </w:r>
                    <w:r>
                      <w:rPr>
                        <w:rFonts w:hint="eastAsia" w:hAnsi="CG Times"/>
                        <w:sz w:val="28"/>
                        <w:szCs w:val="28"/>
                      </w:rPr>
                      <w:instrText xml:space="preserve">PAGE   \* MERGEFORMAT</w:instrText>
                    </w:r>
                    <w:r>
                      <w:rPr>
                        <w:rFonts w:hint="eastAsia" w:hAnsi="CG Times"/>
                        <w:sz w:val="28"/>
                        <w:szCs w:val="28"/>
                      </w:rPr>
                      <w:fldChar w:fldCharType="separate"/>
                    </w:r>
                    <w:r>
                      <w:rPr>
                        <w:rFonts w:hAnsi="CG Times"/>
                        <w:sz w:val="28"/>
                        <w:szCs w:val="28"/>
                        <w:lang w:val="zh-CN"/>
                      </w:rPr>
                      <w:t>22</w:t>
                    </w:r>
                    <w:r>
                      <w:rPr>
                        <w:rFonts w:hint="eastAsia" w:hAnsi="CG Times"/>
                        <w:sz w:val="28"/>
                        <w:szCs w:val="28"/>
                      </w:rPr>
                      <w:fldChar w:fldCharType="end"/>
                    </w:r>
                  </w:p>
                </w:txbxContent>
              </v:textbox>
            </v:shape>
          </w:pict>
        </mc:Fallback>
      </mc:AlternateContent>
    </w:r>
  </w:p>
  <w:p>
    <w:pPr>
      <w:pStyle w:val="13"/>
      <w:tabs>
        <w:tab w:val="center" w:pos="4153"/>
        <w:tab w:val="right"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s>
      <w:jc w:val="right"/>
      <w:rPr>
        <w:rFonts w:hAnsi="CG Times"/>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tabs>
                              <w:tab w:val="center" w:pos="4153"/>
                              <w:tab w:val="right" w:pos="8306"/>
                            </w:tabs>
                            <w:jc w:val="right"/>
                            <w:rPr>
                              <w:rFonts w:eastAsia="仿宋_GB2312"/>
                            </w:rPr>
                          </w:pPr>
                          <w:r>
                            <w:rPr>
                              <w:rFonts w:hint="eastAsia"/>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r>
                            <w:rPr>
                              <w:rFonts w:hint="eastAsia"/>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mBPJ8MBAABwAwAADgAAAGRycy9lMm9Eb2MueG1srVPNjtMwEL4j7TtY&#10;vm+d9oCqqOmK3dUiJARICw/gOnZjyX8au03KA8AbcOLCnefqczB2ku4CN8TFGc+Mv/nmm8nmZrCG&#10;HCVE7V1Dl4uKEumEb7XbN/TTx4frNSUxcddy451s6ElGerO9erHpQy1XvvOmlUAQxMW6Dw3tUgo1&#10;Y1F00vK48EE6DCoPlie8wp61wHtEt4atquol6z20AbyQMaL3fgzSbcFXSor0XqkoEzENRW6pnFDO&#10;XT7ZdsPrPfDQaTHR4P/AwnLtsOgF6p4nTg6g/4KyWoCPXqWF8JZ5pbSQpQfsZln90c1jx4MsvaA4&#10;MVxkiv8PVrw7fgCiW5wdJY5bHNH529fz95/nH1/IMsvTh1hj1mPAvDTc+iGnTv6Iztz1oMDmL/ZD&#10;MI5Cny7iyiERkR+tV+t1hSGBsfmCOOzpeYCYXktvSTYaCji9Iio/vo1pTJ1TcjXnH7Qx6Oe1cb85&#10;EDN7WOY+csxWGnbDRHzn2xP2g4uLdToPnynpcQka6nBLKTFvHGqc92U2YDZ2s8GdwIcNTZSM5l0a&#10;9+oQQO87xF0W8jG8OiRkWhrINMbaEzsca5FgWsG8N8/vJevpR9n+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eYE8nwwEAAHADAAAOAAAAAAAAAAEAIAAAAB4BAABkcnMvZTJvRG9jLnhtbFBL&#10;BQYAAAAABgAGAFkBAABTBQAAAAA=&#10;">
              <v:fill on="f" focussize="0,0"/>
              <v:stroke on="f"/>
              <v:imagedata o:title=""/>
              <o:lock v:ext="edit" aspectratio="f"/>
              <v:textbox inset="0mm,0mm,0mm,0mm" style="mso-fit-shape-to-text:t;">
                <w:txbxContent>
                  <w:p>
                    <w:pPr>
                      <w:pStyle w:val="13"/>
                      <w:tabs>
                        <w:tab w:val="center" w:pos="4153"/>
                        <w:tab w:val="right" w:pos="8306"/>
                      </w:tabs>
                      <w:jc w:val="right"/>
                      <w:rPr>
                        <w:rFonts w:eastAsia="仿宋_GB2312"/>
                      </w:rPr>
                    </w:pPr>
                    <w:r>
                      <w:rPr>
                        <w:rFonts w:hint="eastAsia"/>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r>
                      <w:rPr>
                        <w:rFonts w:hint="eastAsia"/>
                      </w:rPr>
                      <w:t xml:space="preserve"> —</w:t>
                    </w:r>
                  </w:p>
                </w:txbxContent>
              </v:textbox>
            </v:shape>
          </w:pict>
        </mc:Fallback>
      </mc:AlternateContent>
    </w:r>
  </w:p>
  <w:p>
    <w:pPr>
      <w:pStyle w:val="13"/>
      <w:tabs>
        <w:tab w:val="center" w:pos="4153"/>
        <w:tab w:val="right" w:pos="8306"/>
      </w:tabs>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s>
      <w:rPr>
        <w:rFonts w:hAnsi="CG Times"/>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tabs>
                              <w:tab w:val="center" w:pos="4153"/>
                              <w:tab w:val="right" w:pos="8306"/>
                            </w:tabs>
                          </w:pPr>
                          <w:r>
                            <w:rPr>
                              <w:rFonts w:hint="eastAsia" w:hAnsi="CG Times"/>
                              <w:sz w:val="28"/>
                              <w:szCs w:val="28"/>
                            </w:rPr>
                            <w:fldChar w:fldCharType="begin"/>
                          </w:r>
                          <w:r>
                            <w:rPr>
                              <w:rFonts w:hint="eastAsia" w:hAnsi="CG Times"/>
                              <w:sz w:val="28"/>
                              <w:szCs w:val="28"/>
                            </w:rPr>
                            <w:instrText xml:space="preserve">PAGE   \* MERGEFORMAT</w:instrText>
                          </w:r>
                          <w:r>
                            <w:rPr>
                              <w:rFonts w:hint="eastAsia" w:hAnsi="CG Times"/>
                              <w:sz w:val="28"/>
                              <w:szCs w:val="28"/>
                            </w:rPr>
                            <w:fldChar w:fldCharType="separate"/>
                          </w:r>
                          <w:r>
                            <w:rPr>
                              <w:rFonts w:hAnsi="CG Times"/>
                              <w:sz w:val="28"/>
                              <w:szCs w:val="28"/>
                              <w:lang w:val="zh-CN"/>
                            </w:rPr>
                            <w:t>24</w:t>
                          </w:r>
                          <w:r>
                            <w:rPr>
                              <w:rFonts w:hint="eastAsia" w:hAnsi="CG Times"/>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h9cQBAABwAwAADgAAAGRycy9lMm9Eb2MueG1srVPBbhMxEL0j8Q+W&#10;72Q3UYWiVZwKqFpVQoBU+gGO185asj2W7WQ3fAD8AScu3PmufAdjbzal7a3i4h3PjN+8NzO7uhys&#10;IXsZogbH6HxWUyKdgFa7LaP3X6/fLCmJibuWG3CS0YOM9HL9+tWq941cQAemlYEgiItN7xntUvJN&#10;VUXRScvjDLx0GFQQLE94DduqDbxHdGuqRV2/rXoIrQ8gZIzovRqDdF3wlZIifVYqykQMo8gtlTOU&#10;c5PPar3izTZw32lxosFfwMJy7bDoGeqKJ052QT+DsloEiKDSTICtQCktZNGAaub1EzV3HfeyaMHm&#10;RH9uU/x/sOLT/ksgumX0ghLHLY7o+PPH8def4+/v5CK3p/exwaw7j3lpeA8DjnnyR3Rm1YMKNn9R&#10;D8E4Nvpwbq4cEhH50XKxXNYYEhibLohfPTz3IaYbCZZkg9GA0ytN5fuPMY2pU0qu5uBaG1MmaNwj&#10;B2JmT5W5jxyzlYbNcBK0gfaAenBxsU4H4RslPS4Bow63lBJz67DHeV8mI0zGZjK4E/iQ0UTJaH5I&#10;417tfNDbDnHnhXz073YJmRYBmcZY+8QOx1pacFrBvDf/3kvWw4+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cHh9cQBAABwAwAADgAAAAAAAAABACAAAAAeAQAAZHJzL2Uyb0RvYy54bWxQ&#10;SwUGAAAAAAYABgBZAQAAVAUAAAAA&#10;">
              <v:fill on="f" focussize="0,0"/>
              <v:stroke on="f"/>
              <v:imagedata o:title=""/>
              <o:lock v:ext="edit" aspectratio="f"/>
              <v:textbox inset="0mm,0mm,0mm,0mm" style="mso-fit-shape-to-text:t;">
                <w:txbxContent>
                  <w:p>
                    <w:pPr>
                      <w:pStyle w:val="13"/>
                      <w:tabs>
                        <w:tab w:val="center" w:pos="4153"/>
                        <w:tab w:val="right" w:pos="8306"/>
                      </w:tabs>
                    </w:pPr>
                    <w:r>
                      <w:rPr>
                        <w:rFonts w:hint="eastAsia" w:hAnsi="CG Times"/>
                        <w:sz w:val="28"/>
                        <w:szCs w:val="28"/>
                      </w:rPr>
                      <w:fldChar w:fldCharType="begin"/>
                    </w:r>
                    <w:r>
                      <w:rPr>
                        <w:rFonts w:hint="eastAsia" w:hAnsi="CG Times"/>
                        <w:sz w:val="28"/>
                        <w:szCs w:val="28"/>
                      </w:rPr>
                      <w:instrText xml:space="preserve">PAGE   \* MERGEFORMAT</w:instrText>
                    </w:r>
                    <w:r>
                      <w:rPr>
                        <w:rFonts w:hint="eastAsia" w:hAnsi="CG Times"/>
                        <w:sz w:val="28"/>
                        <w:szCs w:val="28"/>
                      </w:rPr>
                      <w:fldChar w:fldCharType="separate"/>
                    </w:r>
                    <w:r>
                      <w:rPr>
                        <w:rFonts w:hAnsi="CG Times"/>
                        <w:sz w:val="28"/>
                        <w:szCs w:val="28"/>
                        <w:lang w:val="zh-CN"/>
                      </w:rPr>
                      <w:t>24</w:t>
                    </w:r>
                    <w:r>
                      <w:rPr>
                        <w:rFonts w:hint="eastAsia" w:hAnsi="CG Times"/>
                        <w:sz w:val="28"/>
                        <w:szCs w:val="28"/>
                      </w:rPr>
                      <w:fldChar w:fldCharType="end"/>
                    </w:r>
                  </w:p>
                </w:txbxContent>
              </v:textbox>
            </v:shape>
          </w:pict>
        </mc:Fallback>
      </mc:AlternateContent>
    </w:r>
  </w:p>
  <w:p>
    <w:pPr>
      <w:pStyle w:val="13"/>
      <w:tabs>
        <w:tab w:val="center" w:pos="4153"/>
        <w:tab w:val="right" w:pos="8306"/>
      </w:tabs>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s>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evenAndOddHeaders w:val="1"/>
  <w:drawingGridHorizontalSpacing w:val="210"/>
  <w:drawingGridVerticalSpacing w:val="286"/>
  <w:doNotShadeFormData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0CB"/>
    <w:rsid w:val="00006D8E"/>
    <w:rsid w:val="000078CF"/>
    <w:rsid w:val="0001242D"/>
    <w:rsid w:val="000142F7"/>
    <w:rsid w:val="00021B2C"/>
    <w:rsid w:val="0002490E"/>
    <w:rsid w:val="0002543B"/>
    <w:rsid w:val="000270E6"/>
    <w:rsid w:val="00027B54"/>
    <w:rsid w:val="00033D31"/>
    <w:rsid w:val="00034892"/>
    <w:rsid w:val="00035DBB"/>
    <w:rsid w:val="0003689E"/>
    <w:rsid w:val="0004001A"/>
    <w:rsid w:val="00041FF1"/>
    <w:rsid w:val="000437F9"/>
    <w:rsid w:val="00046031"/>
    <w:rsid w:val="00046F41"/>
    <w:rsid w:val="00050477"/>
    <w:rsid w:val="00051520"/>
    <w:rsid w:val="00052E98"/>
    <w:rsid w:val="0005372F"/>
    <w:rsid w:val="00053814"/>
    <w:rsid w:val="000539FF"/>
    <w:rsid w:val="000545D7"/>
    <w:rsid w:val="00054661"/>
    <w:rsid w:val="00054954"/>
    <w:rsid w:val="00056D9E"/>
    <w:rsid w:val="00061143"/>
    <w:rsid w:val="00061C6B"/>
    <w:rsid w:val="000623FF"/>
    <w:rsid w:val="000624A0"/>
    <w:rsid w:val="00062AF6"/>
    <w:rsid w:val="00063C0C"/>
    <w:rsid w:val="00067807"/>
    <w:rsid w:val="0007162F"/>
    <w:rsid w:val="0007266E"/>
    <w:rsid w:val="00072BA7"/>
    <w:rsid w:val="00073E0A"/>
    <w:rsid w:val="0007460E"/>
    <w:rsid w:val="00080115"/>
    <w:rsid w:val="00082D1B"/>
    <w:rsid w:val="00084A5F"/>
    <w:rsid w:val="00085674"/>
    <w:rsid w:val="000858DF"/>
    <w:rsid w:val="00086403"/>
    <w:rsid w:val="0008779F"/>
    <w:rsid w:val="0009034C"/>
    <w:rsid w:val="00090936"/>
    <w:rsid w:val="000917EE"/>
    <w:rsid w:val="000918FA"/>
    <w:rsid w:val="00093BD0"/>
    <w:rsid w:val="00094A1B"/>
    <w:rsid w:val="000A057D"/>
    <w:rsid w:val="000A384E"/>
    <w:rsid w:val="000A4372"/>
    <w:rsid w:val="000B1156"/>
    <w:rsid w:val="000B2A12"/>
    <w:rsid w:val="000B2C56"/>
    <w:rsid w:val="000B32C4"/>
    <w:rsid w:val="000B657F"/>
    <w:rsid w:val="000B6A4A"/>
    <w:rsid w:val="000C0334"/>
    <w:rsid w:val="000C088D"/>
    <w:rsid w:val="000C4C6D"/>
    <w:rsid w:val="000D0374"/>
    <w:rsid w:val="000D1002"/>
    <w:rsid w:val="000D1C11"/>
    <w:rsid w:val="000D3CA6"/>
    <w:rsid w:val="000D42ED"/>
    <w:rsid w:val="000D53BB"/>
    <w:rsid w:val="000D5703"/>
    <w:rsid w:val="000E0D3F"/>
    <w:rsid w:val="000E2B8B"/>
    <w:rsid w:val="000E6D53"/>
    <w:rsid w:val="000E7105"/>
    <w:rsid w:val="000F0E2F"/>
    <w:rsid w:val="000F68BC"/>
    <w:rsid w:val="00100B35"/>
    <w:rsid w:val="001029EB"/>
    <w:rsid w:val="00102E7F"/>
    <w:rsid w:val="00102F7B"/>
    <w:rsid w:val="001032F0"/>
    <w:rsid w:val="00104721"/>
    <w:rsid w:val="00106456"/>
    <w:rsid w:val="00107238"/>
    <w:rsid w:val="001072C1"/>
    <w:rsid w:val="001076F1"/>
    <w:rsid w:val="00110141"/>
    <w:rsid w:val="00120966"/>
    <w:rsid w:val="0012241F"/>
    <w:rsid w:val="0012249F"/>
    <w:rsid w:val="0012435A"/>
    <w:rsid w:val="00124930"/>
    <w:rsid w:val="001252C1"/>
    <w:rsid w:val="00125C79"/>
    <w:rsid w:val="00133551"/>
    <w:rsid w:val="00134F3B"/>
    <w:rsid w:val="001364A8"/>
    <w:rsid w:val="00136710"/>
    <w:rsid w:val="001370E6"/>
    <w:rsid w:val="0014189C"/>
    <w:rsid w:val="001429AC"/>
    <w:rsid w:val="001432D0"/>
    <w:rsid w:val="00143757"/>
    <w:rsid w:val="00143E02"/>
    <w:rsid w:val="00143F4D"/>
    <w:rsid w:val="0014568B"/>
    <w:rsid w:val="00147107"/>
    <w:rsid w:val="001479D8"/>
    <w:rsid w:val="00152D25"/>
    <w:rsid w:val="00152EE4"/>
    <w:rsid w:val="00157802"/>
    <w:rsid w:val="00162DC7"/>
    <w:rsid w:val="00162F17"/>
    <w:rsid w:val="00166AF3"/>
    <w:rsid w:val="00166CB0"/>
    <w:rsid w:val="00167442"/>
    <w:rsid w:val="00170BEE"/>
    <w:rsid w:val="0017154C"/>
    <w:rsid w:val="001730DD"/>
    <w:rsid w:val="001746A9"/>
    <w:rsid w:val="001751AE"/>
    <w:rsid w:val="00175470"/>
    <w:rsid w:val="001812D0"/>
    <w:rsid w:val="00184B30"/>
    <w:rsid w:val="00184C78"/>
    <w:rsid w:val="00185248"/>
    <w:rsid w:val="001861F8"/>
    <w:rsid w:val="00192373"/>
    <w:rsid w:val="001939D8"/>
    <w:rsid w:val="00193E27"/>
    <w:rsid w:val="00195221"/>
    <w:rsid w:val="00195E9F"/>
    <w:rsid w:val="0019623A"/>
    <w:rsid w:val="00196694"/>
    <w:rsid w:val="001968F5"/>
    <w:rsid w:val="001A010E"/>
    <w:rsid w:val="001A0589"/>
    <w:rsid w:val="001A09E9"/>
    <w:rsid w:val="001A2DB2"/>
    <w:rsid w:val="001A5613"/>
    <w:rsid w:val="001A7B81"/>
    <w:rsid w:val="001B05DC"/>
    <w:rsid w:val="001B22F5"/>
    <w:rsid w:val="001B4B7C"/>
    <w:rsid w:val="001B5E25"/>
    <w:rsid w:val="001B62A2"/>
    <w:rsid w:val="001B790D"/>
    <w:rsid w:val="001C3714"/>
    <w:rsid w:val="001C602B"/>
    <w:rsid w:val="001C7413"/>
    <w:rsid w:val="001D179D"/>
    <w:rsid w:val="001D3E6F"/>
    <w:rsid w:val="001D629D"/>
    <w:rsid w:val="001D7381"/>
    <w:rsid w:val="001E1E14"/>
    <w:rsid w:val="001E4627"/>
    <w:rsid w:val="001E559B"/>
    <w:rsid w:val="001E5EC4"/>
    <w:rsid w:val="001E7A60"/>
    <w:rsid w:val="001E7D71"/>
    <w:rsid w:val="001F0917"/>
    <w:rsid w:val="001F0E95"/>
    <w:rsid w:val="001F3BF3"/>
    <w:rsid w:val="001F58AE"/>
    <w:rsid w:val="001F6A72"/>
    <w:rsid w:val="001F78D1"/>
    <w:rsid w:val="002010B7"/>
    <w:rsid w:val="002012D2"/>
    <w:rsid w:val="002015A9"/>
    <w:rsid w:val="00202223"/>
    <w:rsid w:val="00202F80"/>
    <w:rsid w:val="00203EA8"/>
    <w:rsid w:val="00204939"/>
    <w:rsid w:val="0020562C"/>
    <w:rsid w:val="00205D99"/>
    <w:rsid w:val="002075FD"/>
    <w:rsid w:val="00207C8E"/>
    <w:rsid w:val="00207D5E"/>
    <w:rsid w:val="0021104F"/>
    <w:rsid w:val="0021189D"/>
    <w:rsid w:val="00212405"/>
    <w:rsid w:val="0021278C"/>
    <w:rsid w:val="00213C33"/>
    <w:rsid w:val="0021442E"/>
    <w:rsid w:val="00214814"/>
    <w:rsid w:val="0021623C"/>
    <w:rsid w:val="0022036C"/>
    <w:rsid w:val="002209B5"/>
    <w:rsid w:val="00220A88"/>
    <w:rsid w:val="00220DF6"/>
    <w:rsid w:val="00220E74"/>
    <w:rsid w:val="00221375"/>
    <w:rsid w:val="002220E7"/>
    <w:rsid w:val="00222956"/>
    <w:rsid w:val="00222FA1"/>
    <w:rsid w:val="002231F4"/>
    <w:rsid w:val="002234EB"/>
    <w:rsid w:val="00223C86"/>
    <w:rsid w:val="00225C2A"/>
    <w:rsid w:val="002352B9"/>
    <w:rsid w:val="00236FF7"/>
    <w:rsid w:val="0023770F"/>
    <w:rsid w:val="002377F6"/>
    <w:rsid w:val="00241425"/>
    <w:rsid w:val="00242328"/>
    <w:rsid w:val="00242ABF"/>
    <w:rsid w:val="002433C3"/>
    <w:rsid w:val="00245474"/>
    <w:rsid w:val="00245C58"/>
    <w:rsid w:val="00246FC7"/>
    <w:rsid w:val="00246FE1"/>
    <w:rsid w:val="00251E09"/>
    <w:rsid w:val="0025222C"/>
    <w:rsid w:val="002524A0"/>
    <w:rsid w:val="002527BB"/>
    <w:rsid w:val="00253700"/>
    <w:rsid w:val="002562BB"/>
    <w:rsid w:val="00260742"/>
    <w:rsid w:val="0026095A"/>
    <w:rsid w:val="00261C40"/>
    <w:rsid w:val="0026299D"/>
    <w:rsid w:val="00263072"/>
    <w:rsid w:val="00264863"/>
    <w:rsid w:val="00264A38"/>
    <w:rsid w:val="002704BA"/>
    <w:rsid w:val="00271BA0"/>
    <w:rsid w:val="0027232C"/>
    <w:rsid w:val="00272BDA"/>
    <w:rsid w:val="00273394"/>
    <w:rsid w:val="002736D2"/>
    <w:rsid w:val="00273876"/>
    <w:rsid w:val="00276F46"/>
    <w:rsid w:val="00281011"/>
    <w:rsid w:val="00283716"/>
    <w:rsid w:val="002863F6"/>
    <w:rsid w:val="002870B3"/>
    <w:rsid w:val="00287E45"/>
    <w:rsid w:val="002901E3"/>
    <w:rsid w:val="00291303"/>
    <w:rsid w:val="00291B0E"/>
    <w:rsid w:val="00293004"/>
    <w:rsid w:val="0029716D"/>
    <w:rsid w:val="002A1DB9"/>
    <w:rsid w:val="002A268D"/>
    <w:rsid w:val="002A365C"/>
    <w:rsid w:val="002A5F3D"/>
    <w:rsid w:val="002A6349"/>
    <w:rsid w:val="002A75C1"/>
    <w:rsid w:val="002A7EC7"/>
    <w:rsid w:val="002B3947"/>
    <w:rsid w:val="002B6484"/>
    <w:rsid w:val="002B72A5"/>
    <w:rsid w:val="002C36DB"/>
    <w:rsid w:val="002C4CC7"/>
    <w:rsid w:val="002C7F72"/>
    <w:rsid w:val="002D03D6"/>
    <w:rsid w:val="002D3436"/>
    <w:rsid w:val="002D4DAE"/>
    <w:rsid w:val="002D50F7"/>
    <w:rsid w:val="002D5285"/>
    <w:rsid w:val="002D5E81"/>
    <w:rsid w:val="002D6516"/>
    <w:rsid w:val="002D7655"/>
    <w:rsid w:val="002E01BF"/>
    <w:rsid w:val="002E0840"/>
    <w:rsid w:val="002E1266"/>
    <w:rsid w:val="002E2E51"/>
    <w:rsid w:val="002E32CE"/>
    <w:rsid w:val="002E410F"/>
    <w:rsid w:val="002E41E3"/>
    <w:rsid w:val="002E7C47"/>
    <w:rsid w:val="002F1660"/>
    <w:rsid w:val="002F3D94"/>
    <w:rsid w:val="002F5A19"/>
    <w:rsid w:val="002F66F0"/>
    <w:rsid w:val="00301F41"/>
    <w:rsid w:val="003031B6"/>
    <w:rsid w:val="003032D4"/>
    <w:rsid w:val="00304355"/>
    <w:rsid w:val="003059BC"/>
    <w:rsid w:val="00306EFE"/>
    <w:rsid w:val="00307E27"/>
    <w:rsid w:val="0031061A"/>
    <w:rsid w:val="00311E16"/>
    <w:rsid w:val="003128D3"/>
    <w:rsid w:val="0031586E"/>
    <w:rsid w:val="003161B4"/>
    <w:rsid w:val="00316BE3"/>
    <w:rsid w:val="00324B20"/>
    <w:rsid w:val="00325007"/>
    <w:rsid w:val="003255F2"/>
    <w:rsid w:val="00330DE9"/>
    <w:rsid w:val="00330EE7"/>
    <w:rsid w:val="00331409"/>
    <w:rsid w:val="003315EE"/>
    <w:rsid w:val="00332056"/>
    <w:rsid w:val="003343DA"/>
    <w:rsid w:val="00335E76"/>
    <w:rsid w:val="00336355"/>
    <w:rsid w:val="00336712"/>
    <w:rsid w:val="00337AC6"/>
    <w:rsid w:val="00341017"/>
    <w:rsid w:val="00341365"/>
    <w:rsid w:val="0034457C"/>
    <w:rsid w:val="0034551F"/>
    <w:rsid w:val="0034580A"/>
    <w:rsid w:val="003458A5"/>
    <w:rsid w:val="00347FFF"/>
    <w:rsid w:val="00351B99"/>
    <w:rsid w:val="00351E75"/>
    <w:rsid w:val="00353C07"/>
    <w:rsid w:val="00355A47"/>
    <w:rsid w:val="00357112"/>
    <w:rsid w:val="00357901"/>
    <w:rsid w:val="003605F9"/>
    <w:rsid w:val="003634F9"/>
    <w:rsid w:val="00364266"/>
    <w:rsid w:val="00365714"/>
    <w:rsid w:val="003678C9"/>
    <w:rsid w:val="00370324"/>
    <w:rsid w:val="003710BC"/>
    <w:rsid w:val="00372F63"/>
    <w:rsid w:val="00375672"/>
    <w:rsid w:val="00376546"/>
    <w:rsid w:val="00376592"/>
    <w:rsid w:val="003808D6"/>
    <w:rsid w:val="003815EC"/>
    <w:rsid w:val="00382AF6"/>
    <w:rsid w:val="00382EEB"/>
    <w:rsid w:val="00384050"/>
    <w:rsid w:val="00386657"/>
    <w:rsid w:val="00390228"/>
    <w:rsid w:val="00390490"/>
    <w:rsid w:val="0039521C"/>
    <w:rsid w:val="003A070B"/>
    <w:rsid w:val="003A4172"/>
    <w:rsid w:val="003A45DA"/>
    <w:rsid w:val="003A4A13"/>
    <w:rsid w:val="003A4BE3"/>
    <w:rsid w:val="003A526A"/>
    <w:rsid w:val="003A5593"/>
    <w:rsid w:val="003A638B"/>
    <w:rsid w:val="003B14DF"/>
    <w:rsid w:val="003B4376"/>
    <w:rsid w:val="003B5172"/>
    <w:rsid w:val="003B5553"/>
    <w:rsid w:val="003B66EA"/>
    <w:rsid w:val="003B7342"/>
    <w:rsid w:val="003B7612"/>
    <w:rsid w:val="003C0271"/>
    <w:rsid w:val="003C182E"/>
    <w:rsid w:val="003C4DF3"/>
    <w:rsid w:val="003C506E"/>
    <w:rsid w:val="003C6D1D"/>
    <w:rsid w:val="003D1D76"/>
    <w:rsid w:val="003D357B"/>
    <w:rsid w:val="003D3F7D"/>
    <w:rsid w:val="003D4123"/>
    <w:rsid w:val="003D436F"/>
    <w:rsid w:val="003D65B0"/>
    <w:rsid w:val="003D6DE9"/>
    <w:rsid w:val="003D7606"/>
    <w:rsid w:val="003E0970"/>
    <w:rsid w:val="003E3B6A"/>
    <w:rsid w:val="003E7026"/>
    <w:rsid w:val="003F3BD8"/>
    <w:rsid w:val="003F5CB9"/>
    <w:rsid w:val="003F7154"/>
    <w:rsid w:val="003F7AF3"/>
    <w:rsid w:val="00400BEA"/>
    <w:rsid w:val="00403DAE"/>
    <w:rsid w:val="0040605C"/>
    <w:rsid w:val="004061E8"/>
    <w:rsid w:val="0040699B"/>
    <w:rsid w:val="00406E7D"/>
    <w:rsid w:val="00410C33"/>
    <w:rsid w:val="00411B15"/>
    <w:rsid w:val="0041269A"/>
    <w:rsid w:val="004147B2"/>
    <w:rsid w:val="00415506"/>
    <w:rsid w:val="00417201"/>
    <w:rsid w:val="0041766C"/>
    <w:rsid w:val="004207B1"/>
    <w:rsid w:val="004208D5"/>
    <w:rsid w:val="004238BA"/>
    <w:rsid w:val="00423A70"/>
    <w:rsid w:val="00423B26"/>
    <w:rsid w:val="00423C9B"/>
    <w:rsid w:val="00425DA6"/>
    <w:rsid w:val="004308C3"/>
    <w:rsid w:val="0043326C"/>
    <w:rsid w:val="00435B68"/>
    <w:rsid w:val="004374A7"/>
    <w:rsid w:val="00437808"/>
    <w:rsid w:val="004379B7"/>
    <w:rsid w:val="00440F1D"/>
    <w:rsid w:val="00442F58"/>
    <w:rsid w:val="00444C18"/>
    <w:rsid w:val="00447C5D"/>
    <w:rsid w:val="0045513E"/>
    <w:rsid w:val="00455910"/>
    <w:rsid w:val="00455E4A"/>
    <w:rsid w:val="00460164"/>
    <w:rsid w:val="0046116A"/>
    <w:rsid w:val="00463633"/>
    <w:rsid w:val="00464883"/>
    <w:rsid w:val="00465979"/>
    <w:rsid w:val="00465EFF"/>
    <w:rsid w:val="004660FE"/>
    <w:rsid w:val="00466C9E"/>
    <w:rsid w:val="00477270"/>
    <w:rsid w:val="0048033E"/>
    <w:rsid w:val="004803AA"/>
    <w:rsid w:val="0048077D"/>
    <w:rsid w:val="004822CE"/>
    <w:rsid w:val="00483CA5"/>
    <w:rsid w:val="00484205"/>
    <w:rsid w:val="00485F92"/>
    <w:rsid w:val="004865FE"/>
    <w:rsid w:val="00491CAB"/>
    <w:rsid w:val="0049445F"/>
    <w:rsid w:val="0049454E"/>
    <w:rsid w:val="00494AFF"/>
    <w:rsid w:val="00494D3E"/>
    <w:rsid w:val="00496169"/>
    <w:rsid w:val="00497142"/>
    <w:rsid w:val="004A04A2"/>
    <w:rsid w:val="004A0C48"/>
    <w:rsid w:val="004A0EB1"/>
    <w:rsid w:val="004A4434"/>
    <w:rsid w:val="004A4CA9"/>
    <w:rsid w:val="004A6045"/>
    <w:rsid w:val="004A71CD"/>
    <w:rsid w:val="004B1D9B"/>
    <w:rsid w:val="004B27E4"/>
    <w:rsid w:val="004B383C"/>
    <w:rsid w:val="004B4838"/>
    <w:rsid w:val="004C049D"/>
    <w:rsid w:val="004C0C9C"/>
    <w:rsid w:val="004C0CD1"/>
    <w:rsid w:val="004C5389"/>
    <w:rsid w:val="004C5DC4"/>
    <w:rsid w:val="004C6168"/>
    <w:rsid w:val="004C627C"/>
    <w:rsid w:val="004C6DC4"/>
    <w:rsid w:val="004C762B"/>
    <w:rsid w:val="004C7EEB"/>
    <w:rsid w:val="004D3120"/>
    <w:rsid w:val="004D3F94"/>
    <w:rsid w:val="004D5FCA"/>
    <w:rsid w:val="004D64DB"/>
    <w:rsid w:val="004E21F5"/>
    <w:rsid w:val="004E390E"/>
    <w:rsid w:val="004E3FAF"/>
    <w:rsid w:val="004E46F6"/>
    <w:rsid w:val="004E5BCD"/>
    <w:rsid w:val="004E791F"/>
    <w:rsid w:val="004F1597"/>
    <w:rsid w:val="004F19E8"/>
    <w:rsid w:val="004F1BE8"/>
    <w:rsid w:val="004F1FB1"/>
    <w:rsid w:val="004F5608"/>
    <w:rsid w:val="004F7C2D"/>
    <w:rsid w:val="00500308"/>
    <w:rsid w:val="00503FD9"/>
    <w:rsid w:val="005063B1"/>
    <w:rsid w:val="0050658B"/>
    <w:rsid w:val="00510F3C"/>
    <w:rsid w:val="00514949"/>
    <w:rsid w:val="00515F08"/>
    <w:rsid w:val="005163FF"/>
    <w:rsid w:val="00517F6D"/>
    <w:rsid w:val="00520B0A"/>
    <w:rsid w:val="00521E9B"/>
    <w:rsid w:val="00523220"/>
    <w:rsid w:val="00524334"/>
    <w:rsid w:val="0052519F"/>
    <w:rsid w:val="0052764C"/>
    <w:rsid w:val="005301AB"/>
    <w:rsid w:val="00530BA0"/>
    <w:rsid w:val="0053226F"/>
    <w:rsid w:val="0053314F"/>
    <w:rsid w:val="0053420A"/>
    <w:rsid w:val="005360CB"/>
    <w:rsid w:val="0053790C"/>
    <w:rsid w:val="0054000C"/>
    <w:rsid w:val="005424C5"/>
    <w:rsid w:val="00542BBF"/>
    <w:rsid w:val="0054455E"/>
    <w:rsid w:val="005445C6"/>
    <w:rsid w:val="00545A01"/>
    <w:rsid w:val="00551581"/>
    <w:rsid w:val="00552A6F"/>
    <w:rsid w:val="00553F11"/>
    <w:rsid w:val="00555509"/>
    <w:rsid w:val="00555F18"/>
    <w:rsid w:val="00556B33"/>
    <w:rsid w:val="00556C76"/>
    <w:rsid w:val="00556DA5"/>
    <w:rsid w:val="00557F4A"/>
    <w:rsid w:val="00560A5A"/>
    <w:rsid w:val="00560F35"/>
    <w:rsid w:val="005626C4"/>
    <w:rsid w:val="0056367F"/>
    <w:rsid w:val="00563F00"/>
    <w:rsid w:val="00564017"/>
    <w:rsid w:val="00566DBE"/>
    <w:rsid w:val="00566E7C"/>
    <w:rsid w:val="00567AEB"/>
    <w:rsid w:val="005709F2"/>
    <w:rsid w:val="0057123C"/>
    <w:rsid w:val="00573123"/>
    <w:rsid w:val="00575037"/>
    <w:rsid w:val="00575BE9"/>
    <w:rsid w:val="005809DF"/>
    <w:rsid w:val="00580D28"/>
    <w:rsid w:val="00582D08"/>
    <w:rsid w:val="00582D71"/>
    <w:rsid w:val="005850E3"/>
    <w:rsid w:val="00585E8A"/>
    <w:rsid w:val="00585EAD"/>
    <w:rsid w:val="00585F85"/>
    <w:rsid w:val="0058600D"/>
    <w:rsid w:val="005928CE"/>
    <w:rsid w:val="00593E20"/>
    <w:rsid w:val="0059553E"/>
    <w:rsid w:val="0059782E"/>
    <w:rsid w:val="005A2179"/>
    <w:rsid w:val="005A3904"/>
    <w:rsid w:val="005A4B62"/>
    <w:rsid w:val="005A5C6F"/>
    <w:rsid w:val="005A5E62"/>
    <w:rsid w:val="005A6722"/>
    <w:rsid w:val="005B2070"/>
    <w:rsid w:val="005C01DD"/>
    <w:rsid w:val="005C057B"/>
    <w:rsid w:val="005C06F3"/>
    <w:rsid w:val="005C217F"/>
    <w:rsid w:val="005C542D"/>
    <w:rsid w:val="005C754F"/>
    <w:rsid w:val="005C7A04"/>
    <w:rsid w:val="005C7C43"/>
    <w:rsid w:val="005D0002"/>
    <w:rsid w:val="005D0511"/>
    <w:rsid w:val="005D0D81"/>
    <w:rsid w:val="005D25B2"/>
    <w:rsid w:val="005D2BD1"/>
    <w:rsid w:val="005D4637"/>
    <w:rsid w:val="005D4C36"/>
    <w:rsid w:val="005D4F5E"/>
    <w:rsid w:val="005D5175"/>
    <w:rsid w:val="005E3720"/>
    <w:rsid w:val="005F40D0"/>
    <w:rsid w:val="005F4B8F"/>
    <w:rsid w:val="006004F8"/>
    <w:rsid w:val="00601306"/>
    <w:rsid w:val="00605375"/>
    <w:rsid w:val="00605711"/>
    <w:rsid w:val="00605D48"/>
    <w:rsid w:val="0060673B"/>
    <w:rsid w:val="00610E37"/>
    <w:rsid w:val="00612674"/>
    <w:rsid w:val="00621EFA"/>
    <w:rsid w:val="00625D7A"/>
    <w:rsid w:val="006265A2"/>
    <w:rsid w:val="00626D2E"/>
    <w:rsid w:val="00626FA0"/>
    <w:rsid w:val="0062737C"/>
    <w:rsid w:val="00627949"/>
    <w:rsid w:val="006301CC"/>
    <w:rsid w:val="006316F9"/>
    <w:rsid w:val="00631CC2"/>
    <w:rsid w:val="00632C29"/>
    <w:rsid w:val="00632D25"/>
    <w:rsid w:val="00633918"/>
    <w:rsid w:val="00636C8A"/>
    <w:rsid w:val="00637954"/>
    <w:rsid w:val="00641B25"/>
    <w:rsid w:val="00643BEF"/>
    <w:rsid w:val="0064411C"/>
    <w:rsid w:val="00644B5D"/>
    <w:rsid w:val="006455B4"/>
    <w:rsid w:val="00653BAA"/>
    <w:rsid w:val="00655736"/>
    <w:rsid w:val="00656A62"/>
    <w:rsid w:val="00657AE2"/>
    <w:rsid w:val="0066047E"/>
    <w:rsid w:val="006610DF"/>
    <w:rsid w:val="0066170D"/>
    <w:rsid w:val="00661EFE"/>
    <w:rsid w:val="00664332"/>
    <w:rsid w:val="00664612"/>
    <w:rsid w:val="00670BF3"/>
    <w:rsid w:val="00670F6E"/>
    <w:rsid w:val="00672CC3"/>
    <w:rsid w:val="00676F5E"/>
    <w:rsid w:val="00681539"/>
    <w:rsid w:val="00681ED7"/>
    <w:rsid w:val="00683F24"/>
    <w:rsid w:val="006854AF"/>
    <w:rsid w:val="006855D3"/>
    <w:rsid w:val="0068667C"/>
    <w:rsid w:val="00686D85"/>
    <w:rsid w:val="00687124"/>
    <w:rsid w:val="00691611"/>
    <w:rsid w:val="00693A2E"/>
    <w:rsid w:val="0069590C"/>
    <w:rsid w:val="00697A9B"/>
    <w:rsid w:val="00697ADC"/>
    <w:rsid w:val="006A0D76"/>
    <w:rsid w:val="006A5144"/>
    <w:rsid w:val="006B01BC"/>
    <w:rsid w:val="006B08F9"/>
    <w:rsid w:val="006B0F6D"/>
    <w:rsid w:val="006B49F7"/>
    <w:rsid w:val="006B4F37"/>
    <w:rsid w:val="006B5938"/>
    <w:rsid w:val="006B5B1B"/>
    <w:rsid w:val="006B7DE3"/>
    <w:rsid w:val="006C0370"/>
    <w:rsid w:val="006C1092"/>
    <w:rsid w:val="006C1733"/>
    <w:rsid w:val="006D0B0F"/>
    <w:rsid w:val="006D2AB6"/>
    <w:rsid w:val="006D3135"/>
    <w:rsid w:val="006D346C"/>
    <w:rsid w:val="006D434A"/>
    <w:rsid w:val="006D626E"/>
    <w:rsid w:val="006D73AE"/>
    <w:rsid w:val="006E0268"/>
    <w:rsid w:val="006E04FF"/>
    <w:rsid w:val="006E11DE"/>
    <w:rsid w:val="006E2C29"/>
    <w:rsid w:val="006E7F20"/>
    <w:rsid w:val="006F184A"/>
    <w:rsid w:val="006F59A9"/>
    <w:rsid w:val="006F5B58"/>
    <w:rsid w:val="00702272"/>
    <w:rsid w:val="00702EBD"/>
    <w:rsid w:val="00703906"/>
    <w:rsid w:val="007104E0"/>
    <w:rsid w:val="0071121C"/>
    <w:rsid w:val="007127EA"/>
    <w:rsid w:val="00713809"/>
    <w:rsid w:val="0071493B"/>
    <w:rsid w:val="007153FF"/>
    <w:rsid w:val="0071549F"/>
    <w:rsid w:val="007164D8"/>
    <w:rsid w:val="0072001C"/>
    <w:rsid w:val="007215B7"/>
    <w:rsid w:val="007226DF"/>
    <w:rsid w:val="00723B72"/>
    <w:rsid w:val="00723C05"/>
    <w:rsid w:val="00724893"/>
    <w:rsid w:val="00725F6E"/>
    <w:rsid w:val="00726CAB"/>
    <w:rsid w:val="0072754D"/>
    <w:rsid w:val="007307A2"/>
    <w:rsid w:val="007315E7"/>
    <w:rsid w:val="00731C91"/>
    <w:rsid w:val="0073347D"/>
    <w:rsid w:val="007352C3"/>
    <w:rsid w:val="00735CD7"/>
    <w:rsid w:val="00743609"/>
    <w:rsid w:val="0074596A"/>
    <w:rsid w:val="00750088"/>
    <w:rsid w:val="007524B1"/>
    <w:rsid w:val="00752CFD"/>
    <w:rsid w:val="00753CAC"/>
    <w:rsid w:val="0075511A"/>
    <w:rsid w:val="007579E7"/>
    <w:rsid w:val="0076037D"/>
    <w:rsid w:val="00762764"/>
    <w:rsid w:val="007630B5"/>
    <w:rsid w:val="00764900"/>
    <w:rsid w:val="00765468"/>
    <w:rsid w:val="00765563"/>
    <w:rsid w:val="00771528"/>
    <w:rsid w:val="0077615B"/>
    <w:rsid w:val="007801DC"/>
    <w:rsid w:val="00781D6E"/>
    <w:rsid w:val="0078244A"/>
    <w:rsid w:val="0078594E"/>
    <w:rsid w:val="00785EC2"/>
    <w:rsid w:val="00787270"/>
    <w:rsid w:val="007935B8"/>
    <w:rsid w:val="00795198"/>
    <w:rsid w:val="00796D2C"/>
    <w:rsid w:val="007A4F99"/>
    <w:rsid w:val="007A5388"/>
    <w:rsid w:val="007B010F"/>
    <w:rsid w:val="007B1188"/>
    <w:rsid w:val="007B220F"/>
    <w:rsid w:val="007B2F26"/>
    <w:rsid w:val="007B5366"/>
    <w:rsid w:val="007B5AF8"/>
    <w:rsid w:val="007B6CE3"/>
    <w:rsid w:val="007C11FC"/>
    <w:rsid w:val="007C1224"/>
    <w:rsid w:val="007C1D88"/>
    <w:rsid w:val="007C48A4"/>
    <w:rsid w:val="007C4FCC"/>
    <w:rsid w:val="007C7530"/>
    <w:rsid w:val="007D0DD4"/>
    <w:rsid w:val="007D1E0D"/>
    <w:rsid w:val="007D5201"/>
    <w:rsid w:val="007D5A0A"/>
    <w:rsid w:val="007D74D8"/>
    <w:rsid w:val="007E1D84"/>
    <w:rsid w:val="007E5874"/>
    <w:rsid w:val="007E72AE"/>
    <w:rsid w:val="007F53DF"/>
    <w:rsid w:val="0080335A"/>
    <w:rsid w:val="00803875"/>
    <w:rsid w:val="008066F5"/>
    <w:rsid w:val="00807C46"/>
    <w:rsid w:val="0081113A"/>
    <w:rsid w:val="00811867"/>
    <w:rsid w:val="00811919"/>
    <w:rsid w:val="00812E2B"/>
    <w:rsid w:val="008132EC"/>
    <w:rsid w:val="00814A5B"/>
    <w:rsid w:val="00815D55"/>
    <w:rsid w:val="00817E2A"/>
    <w:rsid w:val="00820774"/>
    <w:rsid w:val="0082443F"/>
    <w:rsid w:val="00826726"/>
    <w:rsid w:val="0082726F"/>
    <w:rsid w:val="008301B1"/>
    <w:rsid w:val="00831996"/>
    <w:rsid w:val="008327FB"/>
    <w:rsid w:val="00836EA1"/>
    <w:rsid w:val="0083774E"/>
    <w:rsid w:val="008401AB"/>
    <w:rsid w:val="008406CD"/>
    <w:rsid w:val="00842718"/>
    <w:rsid w:val="0084356B"/>
    <w:rsid w:val="00845796"/>
    <w:rsid w:val="00845E68"/>
    <w:rsid w:val="0084651A"/>
    <w:rsid w:val="008478C2"/>
    <w:rsid w:val="008519E0"/>
    <w:rsid w:val="008539E0"/>
    <w:rsid w:val="00854C84"/>
    <w:rsid w:val="00855033"/>
    <w:rsid w:val="008550BB"/>
    <w:rsid w:val="00856336"/>
    <w:rsid w:val="0085730C"/>
    <w:rsid w:val="00857AF4"/>
    <w:rsid w:val="0086469D"/>
    <w:rsid w:val="008657BD"/>
    <w:rsid w:val="008675F5"/>
    <w:rsid w:val="0087090C"/>
    <w:rsid w:val="008721CD"/>
    <w:rsid w:val="00873CF4"/>
    <w:rsid w:val="00875994"/>
    <w:rsid w:val="00876475"/>
    <w:rsid w:val="00877026"/>
    <w:rsid w:val="00880E19"/>
    <w:rsid w:val="00881385"/>
    <w:rsid w:val="00881E65"/>
    <w:rsid w:val="008860E0"/>
    <w:rsid w:val="008910D6"/>
    <w:rsid w:val="00891F27"/>
    <w:rsid w:val="00892D89"/>
    <w:rsid w:val="008934B0"/>
    <w:rsid w:val="0089473A"/>
    <w:rsid w:val="008A05EB"/>
    <w:rsid w:val="008A27E1"/>
    <w:rsid w:val="008A29AE"/>
    <w:rsid w:val="008A357A"/>
    <w:rsid w:val="008A3CD4"/>
    <w:rsid w:val="008A631B"/>
    <w:rsid w:val="008B0440"/>
    <w:rsid w:val="008B0959"/>
    <w:rsid w:val="008B5636"/>
    <w:rsid w:val="008B6FE7"/>
    <w:rsid w:val="008C1DC3"/>
    <w:rsid w:val="008C2A63"/>
    <w:rsid w:val="008C39EE"/>
    <w:rsid w:val="008C4389"/>
    <w:rsid w:val="008C5F20"/>
    <w:rsid w:val="008C6869"/>
    <w:rsid w:val="008D0B2E"/>
    <w:rsid w:val="008D2B27"/>
    <w:rsid w:val="008D2E06"/>
    <w:rsid w:val="008D2FBD"/>
    <w:rsid w:val="008D3091"/>
    <w:rsid w:val="008D3768"/>
    <w:rsid w:val="008D3B72"/>
    <w:rsid w:val="008D421E"/>
    <w:rsid w:val="008D6E4E"/>
    <w:rsid w:val="008E2454"/>
    <w:rsid w:val="008E3735"/>
    <w:rsid w:val="008E461B"/>
    <w:rsid w:val="008E51F0"/>
    <w:rsid w:val="008E554B"/>
    <w:rsid w:val="008E5AE4"/>
    <w:rsid w:val="008E6B20"/>
    <w:rsid w:val="008F2C1B"/>
    <w:rsid w:val="008F3A99"/>
    <w:rsid w:val="008F5857"/>
    <w:rsid w:val="008F6D92"/>
    <w:rsid w:val="00901113"/>
    <w:rsid w:val="009021AC"/>
    <w:rsid w:val="009022D1"/>
    <w:rsid w:val="00902649"/>
    <w:rsid w:val="00905A83"/>
    <w:rsid w:val="00905FED"/>
    <w:rsid w:val="00913126"/>
    <w:rsid w:val="0091709F"/>
    <w:rsid w:val="009205C9"/>
    <w:rsid w:val="00931B12"/>
    <w:rsid w:val="009326FA"/>
    <w:rsid w:val="009336BD"/>
    <w:rsid w:val="00933B25"/>
    <w:rsid w:val="009354DA"/>
    <w:rsid w:val="0094076C"/>
    <w:rsid w:val="009414E7"/>
    <w:rsid w:val="00941C14"/>
    <w:rsid w:val="00942A12"/>
    <w:rsid w:val="00942F11"/>
    <w:rsid w:val="00946283"/>
    <w:rsid w:val="00946AA5"/>
    <w:rsid w:val="009514BD"/>
    <w:rsid w:val="0095231F"/>
    <w:rsid w:val="0095239F"/>
    <w:rsid w:val="00953DC6"/>
    <w:rsid w:val="009540B2"/>
    <w:rsid w:val="00955601"/>
    <w:rsid w:val="00962CB0"/>
    <w:rsid w:val="00962CC0"/>
    <w:rsid w:val="00963452"/>
    <w:rsid w:val="00963ADA"/>
    <w:rsid w:val="0096579C"/>
    <w:rsid w:val="00966834"/>
    <w:rsid w:val="00967449"/>
    <w:rsid w:val="00967DC6"/>
    <w:rsid w:val="0097052C"/>
    <w:rsid w:val="00972AA5"/>
    <w:rsid w:val="00975604"/>
    <w:rsid w:val="009757E0"/>
    <w:rsid w:val="009774EC"/>
    <w:rsid w:val="00980FC9"/>
    <w:rsid w:val="00982565"/>
    <w:rsid w:val="009829FB"/>
    <w:rsid w:val="00984838"/>
    <w:rsid w:val="00984AFD"/>
    <w:rsid w:val="009866DF"/>
    <w:rsid w:val="00986F6C"/>
    <w:rsid w:val="00987389"/>
    <w:rsid w:val="00987F91"/>
    <w:rsid w:val="00991946"/>
    <w:rsid w:val="009942A3"/>
    <w:rsid w:val="009943BF"/>
    <w:rsid w:val="00994A61"/>
    <w:rsid w:val="009A06D3"/>
    <w:rsid w:val="009A40E7"/>
    <w:rsid w:val="009A6FEC"/>
    <w:rsid w:val="009B09E8"/>
    <w:rsid w:val="009B3B0A"/>
    <w:rsid w:val="009B3DAB"/>
    <w:rsid w:val="009B5056"/>
    <w:rsid w:val="009B600A"/>
    <w:rsid w:val="009B7F77"/>
    <w:rsid w:val="009C03DD"/>
    <w:rsid w:val="009C191B"/>
    <w:rsid w:val="009C19E4"/>
    <w:rsid w:val="009C1ACD"/>
    <w:rsid w:val="009C2E59"/>
    <w:rsid w:val="009C3F3C"/>
    <w:rsid w:val="009C4414"/>
    <w:rsid w:val="009C4716"/>
    <w:rsid w:val="009C4EF8"/>
    <w:rsid w:val="009C6A25"/>
    <w:rsid w:val="009C7B32"/>
    <w:rsid w:val="009D01A3"/>
    <w:rsid w:val="009D1DE6"/>
    <w:rsid w:val="009D6368"/>
    <w:rsid w:val="009D63D6"/>
    <w:rsid w:val="009E0B5F"/>
    <w:rsid w:val="009E0CE2"/>
    <w:rsid w:val="009E3FA3"/>
    <w:rsid w:val="009E3FE4"/>
    <w:rsid w:val="009E6AC4"/>
    <w:rsid w:val="009F2A2C"/>
    <w:rsid w:val="009F3B83"/>
    <w:rsid w:val="009F74CB"/>
    <w:rsid w:val="00A022FC"/>
    <w:rsid w:val="00A02B99"/>
    <w:rsid w:val="00A03628"/>
    <w:rsid w:val="00A04573"/>
    <w:rsid w:val="00A05570"/>
    <w:rsid w:val="00A07AE5"/>
    <w:rsid w:val="00A1019A"/>
    <w:rsid w:val="00A11150"/>
    <w:rsid w:val="00A12169"/>
    <w:rsid w:val="00A13900"/>
    <w:rsid w:val="00A14263"/>
    <w:rsid w:val="00A149F2"/>
    <w:rsid w:val="00A163C8"/>
    <w:rsid w:val="00A1793F"/>
    <w:rsid w:val="00A17E2A"/>
    <w:rsid w:val="00A2592F"/>
    <w:rsid w:val="00A27E73"/>
    <w:rsid w:val="00A305AD"/>
    <w:rsid w:val="00A30860"/>
    <w:rsid w:val="00A30E0C"/>
    <w:rsid w:val="00A312B3"/>
    <w:rsid w:val="00A31FB2"/>
    <w:rsid w:val="00A33A4D"/>
    <w:rsid w:val="00A35CF3"/>
    <w:rsid w:val="00A3728E"/>
    <w:rsid w:val="00A37F8F"/>
    <w:rsid w:val="00A41158"/>
    <w:rsid w:val="00A417D2"/>
    <w:rsid w:val="00A419B7"/>
    <w:rsid w:val="00A41CE7"/>
    <w:rsid w:val="00A41E62"/>
    <w:rsid w:val="00A42BD0"/>
    <w:rsid w:val="00A454D1"/>
    <w:rsid w:val="00A507C8"/>
    <w:rsid w:val="00A53513"/>
    <w:rsid w:val="00A5471E"/>
    <w:rsid w:val="00A54BD4"/>
    <w:rsid w:val="00A579D6"/>
    <w:rsid w:val="00A579D8"/>
    <w:rsid w:val="00A65181"/>
    <w:rsid w:val="00A7026D"/>
    <w:rsid w:val="00A72002"/>
    <w:rsid w:val="00A728C7"/>
    <w:rsid w:val="00A7292A"/>
    <w:rsid w:val="00A73D8D"/>
    <w:rsid w:val="00A77A03"/>
    <w:rsid w:val="00A808FB"/>
    <w:rsid w:val="00A82263"/>
    <w:rsid w:val="00A8342D"/>
    <w:rsid w:val="00A8442C"/>
    <w:rsid w:val="00A84CF0"/>
    <w:rsid w:val="00A84F6B"/>
    <w:rsid w:val="00A862E7"/>
    <w:rsid w:val="00A8654F"/>
    <w:rsid w:val="00A870B0"/>
    <w:rsid w:val="00A875DB"/>
    <w:rsid w:val="00A87868"/>
    <w:rsid w:val="00A9071E"/>
    <w:rsid w:val="00A96487"/>
    <w:rsid w:val="00A96A6A"/>
    <w:rsid w:val="00A96B1A"/>
    <w:rsid w:val="00A97145"/>
    <w:rsid w:val="00A9725A"/>
    <w:rsid w:val="00A97763"/>
    <w:rsid w:val="00AA142C"/>
    <w:rsid w:val="00AA43BC"/>
    <w:rsid w:val="00AA5A18"/>
    <w:rsid w:val="00AA650C"/>
    <w:rsid w:val="00AA78B7"/>
    <w:rsid w:val="00AB0375"/>
    <w:rsid w:val="00AB1B76"/>
    <w:rsid w:val="00AB1F80"/>
    <w:rsid w:val="00AB1FDC"/>
    <w:rsid w:val="00AB2037"/>
    <w:rsid w:val="00AB229D"/>
    <w:rsid w:val="00AB61FC"/>
    <w:rsid w:val="00AB62E9"/>
    <w:rsid w:val="00AB64E6"/>
    <w:rsid w:val="00AB6FA1"/>
    <w:rsid w:val="00AC14EA"/>
    <w:rsid w:val="00AC2715"/>
    <w:rsid w:val="00AC6C89"/>
    <w:rsid w:val="00AC6E76"/>
    <w:rsid w:val="00AC7095"/>
    <w:rsid w:val="00AC7D69"/>
    <w:rsid w:val="00AD21F3"/>
    <w:rsid w:val="00AD244A"/>
    <w:rsid w:val="00AD5ABF"/>
    <w:rsid w:val="00AD64BE"/>
    <w:rsid w:val="00AE146F"/>
    <w:rsid w:val="00AE1591"/>
    <w:rsid w:val="00AE247F"/>
    <w:rsid w:val="00AE381A"/>
    <w:rsid w:val="00AE66BF"/>
    <w:rsid w:val="00AE7A7B"/>
    <w:rsid w:val="00AF16C2"/>
    <w:rsid w:val="00AF1E7F"/>
    <w:rsid w:val="00AF28CE"/>
    <w:rsid w:val="00AF3737"/>
    <w:rsid w:val="00AF5546"/>
    <w:rsid w:val="00AF5874"/>
    <w:rsid w:val="00AF7D2A"/>
    <w:rsid w:val="00B019D9"/>
    <w:rsid w:val="00B01DDA"/>
    <w:rsid w:val="00B01F8B"/>
    <w:rsid w:val="00B0288D"/>
    <w:rsid w:val="00B02D29"/>
    <w:rsid w:val="00B039C6"/>
    <w:rsid w:val="00B041EC"/>
    <w:rsid w:val="00B06B03"/>
    <w:rsid w:val="00B10AB9"/>
    <w:rsid w:val="00B11439"/>
    <w:rsid w:val="00B114B0"/>
    <w:rsid w:val="00B120B3"/>
    <w:rsid w:val="00B1250E"/>
    <w:rsid w:val="00B14E16"/>
    <w:rsid w:val="00B14E94"/>
    <w:rsid w:val="00B16907"/>
    <w:rsid w:val="00B208BC"/>
    <w:rsid w:val="00B21213"/>
    <w:rsid w:val="00B2330D"/>
    <w:rsid w:val="00B25E0E"/>
    <w:rsid w:val="00B32760"/>
    <w:rsid w:val="00B34B42"/>
    <w:rsid w:val="00B34BD6"/>
    <w:rsid w:val="00B35434"/>
    <w:rsid w:val="00B418AC"/>
    <w:rsid w:val="00B43B14"/>
    <w:rsid w:val="00B448B6"/>
    <w:rsid w:val="00B50471"/>
    <w:rsid w:val="00B52313"/>
    <w:rsid w:val="00B53F19"/>
    <w:rsid w:val="00B543B5"/>
    <w:rsid w:val="00B57730"/>
    <w:rsid w:val="00B647E5"/>
    <w:rsid w:val="00B702AD"/>
    <w:rsid w:val="00B70DAF"/>
    <w:rsid w:val="00B71AC8"/>
    <w:rsid w:val="00B73D64"/>
    <w:rsid w:val="00B7439F"/>
    <w:rsid w:val="00B8017D"/>
    <w:rsid w:val="00B81226"/>
    <w:rsid w:val="00B82D32"/>
    <w:rsid w:val="00B85E24"/>
    <w:rsid w:val="00B8623C"/>
    <w:rsid w:val="00B869AF"/>
    <w:rsid w:val="00B870D3"/>
    <w:rsid w:val="00B871A8"/>
    <w:rsid w:val="00B91AE0"/>
    <w:rsid w:val="00B937BF"/>
    <w:rsid w:val="00B9675F"/>
    <w:rsid w:val="00B97CF9"/>
    <w:rsid w:val="00BA0E4F"/>
    <w:rsid w:val="00BA1935"/>
    <w:rsid w:val="00BA41D3"/>
    <w:rsid w:val="00BA4D34"/>
    <w:rsid w:val="00BA7F39"/>
    <w:rsid w:val="00BB02E5"/>
    <w:rsid w:val="00BB4B49"/>
    <w:rsid w:val="00BB4D77"/>
    <w:rsid w:val="00BB57D8"/>
    <w:rsid w:val="00BB6012"/>
    <w:rsid w:val="00BB6646"/>
    <w:rsid w:val="00BB6866"/>
    <w:rsid w:val="00BB70C9"/>
    <w:rsid w:val="00BC1B2E"/>
    <w:rsid w:val="00BC1D08"/>
    <w:rsid w:val="00BC31B9"/>
    <w:rsid w:val="00BC3D82"/>
    <w:rsid w:val="00BC5166"/>
    <w:rsid w:val="00BC5354"/>
    <w:rsid w:val="00BC71CC"/>
    <w:rsid w:val="00BD4D6C"/>
    <w:rsid w:val="00BE13B1"/>
    <w:rsid w:val="00BE2D26"/>
    <w:rsid w:val="00BE2D50"/>
    <w:rsid w:val="00BE3105"/>
    <w:rsid w:val="00BE426A"/>
    <w:rsid w:val="00BE4B39"/>
    <w:rsid w:val="00BE6AA0"/>
    <w:rsid w:val="00BE742F"/>
    <w:rsid w:val="00BF273F"/>
    <w:rsid w:val="00BF363F"/>
    <w:rsid w:val="00BF399E"/>
    <w:rsid w:val="00BF511F"/>
    <w:rsid w:val="00BF5461"/>
    <w:rsid w:val="00BF5862"/>
    <w:rsid w:val="00C0097F"/>
    <w:rsid w:val="00C027A4"/>
    <w:rsid w:val="00C02801"/>
    <w:rsid w:val="00C02D23"/>
    <w:rsid w:val="00C06DD3"/>
    <w:rsid w:val="00C102C9"/>
    <w:rsid w:val="00C108B9"/>
    <w:rsid w:val="00C1430A"/>
    <w:rsid w:val="00C16534"/>
    <w:rsid w:val="00C16F0F"/>
    <w:rsid w:val="00C213C9"/>
    <w:rsid w:val="00C2693C"/>
    <w:rsid w:val="00C32DD6"/>
    <w:rsid w:val="00C33287"/>
    <w:rsid w:val="00C34370"/>
    <w:rsid w:val="00C34A35"/>
    <w:rsid w:val="00C37063"/>
    <w:rsid w:val="00C43323"/>
    <w:rsid w:val="00C44735"/>
    <w:rsid w:val="00C4497A"/>
    <w:rsid w:val="00C44EAA"/>
    <w:rsid w:val="00C51C76"/>
    <w:rsid w:val="00C5400F"/>
    <w:rsid w:val="00C5552D"/>
    <w:rsid w:val="00C56359"/>
    <w:rsid w:val="00C563A4"/>
    <w:rsid w:val="00C57AA2"/>
    <w:rsid w:val="00C6188D"/>
    <w:rsid w:val="00C620EE"/>
    <w:rsid w:val="00C63B1C"/>
    <w:rsid w:val="00C6724E"/>
    <w:rsid w:val="00C672A2"/>
    <w:rsid w:val="00C7069F"/>
    <w:rsid w:val="00C70860"/>
    <w:rsid w:val="00C73EB5"/>
    <w:rsid w:val="00C73EBC"/>
    <w:rsid w:val="00C74061"/>
    <w:rsid w:val="00C74942"/>
    <w:rsid w:val="00C74C56"/>
    <w:rsid w:val="00C74EC1"/>
    <w:rsid w:val="00C752E9"/>
    <w:rsid w:val="00C76843"/>
    <w:rsid w:val="00C771D1"/>
    <w:rsid w:val="00C8742E"/>
    <w:rsid w:val="00C90054"/>
    <w:rsid w:val="00C91A9B"/>
    <w:rsid w:val="00C933BD"/>
    <w:rsid w:val="00C9374C"/>
    <w:rsid w:val="00C937CC"/>
    <w:rsid w:val="00C94013"/>
    <w:rsid w:val="00C94084"/>
    <w:rsid w:val="00C94B94"/>
    <w:rsid w:val="00C95412"/>
    <w:rsid w:val="00C958AF"/>
    <w:rsid w:val="00C958F7"/>
    <w:rsid w:val="00C97C61"/>
    <w:rsid w:val="00C97F25"/>
    <w:rsid w:val="00CA2B77"/>
    <w:rsid w:val="00CA328A"/>
    <w:rsid w:val="00CA4BAF"/>
    <w:rsid w:val="00CB0559"/>
    <w:rsid w:val="00CB186A"/>
    <w:rsid w:val="00CB49CA"/>
    <w:rsid w:val="00CB56DA"/>
    <w:rsid w:val="00CB65ED"/>
    <w:rsid w:val="00CB6973"/>
    <w:rsid w:val="00CC144F"/>
    <w:rsid w:val="00CC228C"/>
    <w:rsid w:val="00CC51FC"/>
    <w:rsid w:val="00CC5CD4"/>
    <w:rsid w:val="00CD1D6B"/>
    <w:rsid w:val="00CD577F"/>
    <w:rsid w:val="00CD5BB4"/>
    <w:rsid w:val="00CD6672"/>
    <w:rsid w:val="00CE1737"/>
    <w:rsid w:val="00CE3015"/>
    <w:rsid w:val="00CE335C"/>
    <w:rsid w:val="00CE4C27"/>
    <w:rsid w:val="00CE4E94"/>
    <w:rsid w:val="00CE708F"/>
    <w:rsid w:val="00CF17FA"/>
    <w:rsid w:val="00CF3CC0"/>
    <w:rsid w:val="00CF6110"/>
    <w:rsid w:val="00CF6BED"/>
    <w:rsid w:val="00CF7321"/>
    <w:rsid w:val="00D013D4"/>
    <w:rsid w:val="00D01B15"/>
    <w:rsid w:val="00D0680E"/>
    <w:rsid w:val="00D06CA9"/>
    <w:rsid w:val="00D0705B"/>
    <w:rsid w:val="00D12B97"/>
    <w:rsid w:val="00D1413A"/>
    <w:rsid w:val="00D14DA1"/>
    <w:rsid w:val="00D221B0"/>
    <w:rsid w:val="00D22DB7"/>
    <w:rsid w:val="00D26971"/>
    <w:rsid w:val="00D27666"/>
    <w:rsid w:val="00D30CE2"/>
    <w:rsid w:val="00D317B7"/>
    <w:rsid w:val="00D31B37"/>
    <w:rsid w:val="00D31D8E"/>
    <w:rsid w:val="00D32269"/>
    <w:rsid w:val="00D34202"/>
    <w:rsid w:val="00D37941"/>
    <w:rsid w:val="00D37C5A"/>
    <w:rsid w:val="00D401A1"/>
    <w:rsid w:val="00D4145F"/>
    <w:rsid w:val="00D41A47"/>
    <w:rsid w:val="00D44406"/>
    <w:rsid w:val="00D457BB"/>
    <w:rsid w:val="00D45A1F"/>
    <w:rsid w:val="00D4698E"/>
    <w:rsid w:val="00D535E4"/>
    <w:rsid w:val="00D54D77"/>
    <w:rsid w:val="00D555AB"/>
    <w:rsid w:val="00D559C1"/>
    <w:rsid w:val="00D6055C"/>
    <w:rsid w:val="00D61888"/>
    <w:rsid w:val="00D64137"/>
    <w:rsid w:val="00D6417D"/>
    <w:rsid w:val="00D645EE"/>
    <w:rsid w:val="00D65596"/>
    <w:rsid w:val="00D73649"/>
    <w:rsid w:val="00D75B4A"/>
    <w:rsid w:val="00D7607E"/>
    <w:rsid w:val="00D84088"/>
    <w:rsid w:val="00D85365"/>
    <w:rsid w:val="00D86D4B"/>
    <w:rsid w:val="00D8751A"/>
    <w:rsid w:val="00D9426E"/>
    <w:rsid w:val="00D94F78"/>
    <w:rsid w:val="00D95090"/>
    <w:rsid w:val="00D9542F"/>
    <w:rsid w:val="00D9565E"/>
    <w:rsid w:val="00D96140"/>
    <w:rsid w:val="00DA0796"/>
    <w:rsid w:val="00DA0D7D"/>
    <w:rsid w:val="00DA16A3"/>
    <w:rsid w:val="00DA27AF"/>
    <w:rsid w:val="00DA5413"/>
    <w:rsid w:val="00DA54BB"/>
    <w:rsid w:val="00DA625A"/>
    <w:rsid w:val="00DA7CAD"/>
    <w:rsid w:val="00DB0219"/>
    <w:rsid w:val="00DB17ED"/>
    <w:rsid w:val="00DB330F"/>
    <w:rsid w:val="00DB4401"/>
    <w:rsid w:val="00DB495C"/>
    <w:rsid w:val="00DC0CAD"/>
    <w:rsid w:val="00DC1B22"/>
    <w:rsid w:val="00DC1EA2"/>
    <w:rsid w:val="00DC2961"/>
    <w:rsid w:val="00DC3937"/>
    <w:rsid w:val="00DC48F4"/>
    <w:rsid w:val="00DC501D"/>
    <w:rsid w:val="00DC50FC"/>
    <w:rsid w:val="00DC55EB"/>
    <w:rsid w:val="00DC74DB"/>
    <w:rsid w:val="00DC7A81"/>
    <w:rsid w:val="00DD0B61"/>
    <w:rsid w:val="00DD23DE"/>
    <w:rsid w:val="00DD3FB0"/>
    <w:rsid w:val="00DD3FE2"/>
    <w:rsid w:val="00DD5076"/>
    <w:rsid w:val="00DD542B"/>
    <w:rsid w:val="00DD648F"/>
    <w:rsid w:val="00DE1268"/>
    <w:rsid w:val="00DE532C"/>
    <w:rsid w:val="00DE5381"/>
    <w:rsid w:val="00DE592A"/>
    <w:rsid w:val="00DE6993"/>
    <w:rsid w:val="00DE7971"/>
    <w:rsid w:val="00DF1839"/>
    <w:rsid w:val="00DF198D"/>
    <w:rsid w:val="00DF24EF"/>
    <w:rsid w:val="00DF3CF1"/>
    <w:rsid w:val="00DF41BC"/>
    <w:rsid w:val="00DF4ACD"/>
    <w:rsid w:val="00E00A16"/>
    <w:rsid w:val="00E048AE"/>
    <w:rsid w:val="00E052D9"/>
    <w:rsid w:val="00E05495"/>
    <w:rsid w:val="00E05FDE"/>
    <w:rsid w:val="00E07500"/>
    <w:rsid w:val="00E105CA"/>
    <w:rsid w:val="00E10D8E"/>
    <w:rsid w:val="00E1436F"/>
    <w:rsid w:val="00E1547F"/>
    <w:rsid w:val="00E16DFE"/>
    <w:rsid w:val="00E21D32"/>
    <w:rsid w:val="00E234A4"/>
    <w:rsid w:val="00E23502"/>
    <w:rsid w:val="00E2433D"/>
    <w:rsid w:val="00E25663"/>
    <w:rsid w:val="00E2585E"/>
    <w:rsid w:val="00E2608F"/>
    <w:rsid w:val="00E30CE5"/>
    <w:rsid w:val="00E323CD"/>
    <w:rsid w:val="00E3357E"/>
    <w:rsid w:val="00E3375B"/>
    <w:rsid w:val="00E34347"/>
    <w:rsid w:val="00E35C93"/>
    <w:rsid w:val="00E35DE0"/>
    <w:rsid w:val="00E370C6"/>
    <w:rsid w:val="00E37CB5"/>
    <w:rsid w:val="00E411BE"/>
    <w:rsid w:val="00E429F1"/>
    <w:rsid w:val="00E460A2"/>
    <w:rsid w:val="00E4617B"/>
    <w:rsid w:val="00E46E8C"/>
    <w:rsid w:val="00E5080D"/>
    <w:rsid w:val="00E5128C"/>
    <w:rsid w:val="00E54F81"/>
    <w:rsid w:val="00E5568B"/>
    <w:rsid w:val="00E56776"/>
    <w:rsid w:val="00E574DD"/>
    <w:rsid w:val="00E61C67"/>
    <w:rsid w:val="00E62107"/>
    <w:rsid w:val="00E62431"/>
    <w:rsid w:val="00E62C28"/>
    <w:rsid w:val="00E66F31"/>
    <w:rsid w:val="00E67ECC"/>
    <w:rsid w:val="00E67FA3"/>
    <w:rsid w:val="00E73833"/>
    <w:rsid w:val="00E75647"/>
    <w:rsid w:val="00E77EBE"/>
    <w:rsid w:val="00E85728"/>
    <w:rsid w:val="00E85D06"/>
    <w:rsid w:val="00E87D71"/>
    <w:rsid w:val="00E90FAA"/>
    <w:rsid w:val="00E91424"/>
    <w:rsid w:val="00E92219"/>
    <w:rsid w:val="00E932E7"/>
    <w:rsid w:val="00E93923"/>
    <w:rsid w:val="00EA25E5"/>
    <w:rsid w:val="00EA2CA4"/>
    <w:rsid w:val="00EA4883"/>
    <w:rsid w:val="00EA4F68"/>
    <w:rsid w:val="00EA7499"/>
    <w:rsid w:val="00EB3251"/>
    <w:rsid w:val="00EB60C6"/>
    <w:rsid w:val="00EB6557"/>
    <w:rsid w:val="00EB7132"/>
    <w:rsid w:val="00EC075A"/>
    <w:rsid w:val="00EC10D3"/>
    <w:rsid w:val="00EC273E"/>
    <w:rsid w:val="00EC2CEE"/>
    <w:rsid w:val="00EC4B8F"/>
    <w:rsid w:val="00EC4C5A"/>
    <w:rsid w:val="00EC4D65"/>
    <w:rsid w:val="00ED4199"/>
    <w:rsid w:val="00ED47B6"/>
    <w:rsid w:val="00ED5BA0"/>
    <w:rsid w:val="00EE194C"/>
    <w:rsid w:val="00EE3AE0"/>
    <w:rsid w:val="00EE3DD1"/>
    <w:rsid w:val="00EE4160"/>
    <w:rsid w:val="00EE57AF"/>
    <w:rsid w:val="00EE632C"/>
    <w:rsid w:val="00EE75AB"/>
    <w:rsid w:val="00EF148F"/>
    <w:rsid w:val="00EF1CF3"/>
    <w:rsid w:val="00EF1E4C"/>
    <w:rsid w:val="00EF410C"/>
    <w:rsid w:val="00EF412C"/>
    <w:rsid w:val="00EF480B"/>
    <w:rsid w:val="00EF7ECA"/>
    <w:rsid w:val="00F000B9"/>
    <w:rsid w:val="00F00233"/>
    <w:rsid w:val="00F018D8"/>
    <w:rsid w:val="00F05194"/>
    <w:rsid w:val="00F05C2B"/>
    <w:rsid w:val="00F07CBF"/>
    <w:rsid w:val="00F10E7B"/>
    <w:rsid w:val="00F11F36"/>
    <w:rsid w:val="00F13575"/>
    <w:rsid w:val="00F144FA"/>
    <w:rsid w:val="00F164F0"/>
    <w:rsid w:val="00F2416F"/>
    <w:rsid w:val="00F24FCE"/>
    <w:rsid w:val="00F25FF8"/>
    <w:rsid w:val="00F26DFF"/>
    <w:rsid w:val="00F26F8A"/>
    <w:rsid w:val="00F30E0D"/>
    <w:rsid w:val="00F406EC"/>
    <w:rsid w:val="00F40A7B"/>
    <w:rsid w:val="00F4351C"/>
    <w:rsid w:val="00F443F0"/>
    <w:rsid w:val="00F505BA"/>
    <w:rsid w:val="00F509BD"/>
    <w:rsid w:val="00F5302C"/>
    <w:rsid w:val="00F53769"/>
    <w:rsid w:val="00F55D76"/>
    <w:rsid w:val="00F56DE7"/>
    <w:rsid w:val="00F56DFB"/>
    <w:rsid w:val="00F61488"/>
    <w:rsid w:val="00F6304E"/>
    <w:rsid w:val="00F65B6B"/>
    <w:rsid w:val="00F6612E"/>
    <w:rsid w:val="00F66FEF"/>
    <w:rsid w:val="00F70386"/>
    <w:rsid w:val="00F71AC3"/>
    <w:rsid w:val="00F728CC"/>
    <w:rsid w:val="00F8074E"/>
    <w:rsid w:val="00F80877"/>
    <w:rsid w:val="00F812FE"/>
    <w:rsid w:val="00F830BF"/>
    <w:rsid w:val="00F838C4"/>
    <w:rsid w:val="00F83D0A"/>
    <w:rsid w:val="00F85CA6"/>
    <w:rsid w:val="00F904C8"/>
    <w:rsid w:val="00F91E10"/>
    <w:rsid w:val="00F91FA0"/>
    <w:rsid w:val="00F91FD9"/>
    <w:rsid w:val="00F92625"/>
    <w:rsid w:val="00F92D44"/>
    <w:rsid w:val="00F94261"/>
    <w:rsid w:val="00F9514A"/>
    <w:rsid w:val="00F9589B"/>
    <w:rsid w:val="00F95BA7"/>
    <w:rsid w:val="00FA09C6"/>
    <w:rsid w:val="00FA2E1E"/>
    <w:rsid w:val="00FA3145"/>
    <w:rsid w:val="00FA33A0"/>
    <w:rsid w:val="00FA52D5"/>
    <w:rsid w:val="00FA56BD"/>
    <w:rsid w:val="00FB54F2"/>
    <w:rsid w:val="00FC0AE0"/>
    <w:rsid w:val="00FC3D2E"/>
    <w:rsid w:val="00FC4690"/>
    <w:rsid w:val="00FC47EF"/>
    <w:rsid w:val="00FD0754"/>
    <w:rsid w:val="00FD20B0"/>
    <w:rsid w:val="00FD2554"/>
    <w:rsid w:val="00FD410D"/>
    <w:rsid w:val="00FD5CA8"/>
    <w:rsid w:val="00FE139E"/>
    <w:rsid w:val="00FE1D6A"/>
    <w:rsid w:val="00FE1E96"/>
    <w:rsid w:val="00FE1FA0"/>
    <w:rsid w:val="00FE2856"/>
    <w:rsid w:val="00FE797A"/>
    <w:rsid w:val="00FF0F00"/>
    <w:rsid w:val="00FF2309"/>
    <w:rsid w:val="00FF2F0D"/>
    <w:rsid w:val="00FF341A"/>
    <w:rsid w:val="00FF55A4"/>
    <w:rsid w:val="00FF7AF1"/>
    <w:rsid w:val="0103321E"/>
    <w:rsid w:val="013704A3"/>
    <w:rsid w:val="0138268E"/>
    <w:rsid w:val="01401F3F"/>
    <w:rsid w:val="01700C3A"/>
    <w:rsid w:val="017A4B48"/>
    <w:rsid w:val="017F386D"/>
    <w:rsid w:val="01956B3C"/>
    <w:rsid w:val="01A65796"/>
    <w:rsid w:val="01AF383E"/>
    <w:rsid w:val="01D6465B"/>
    <w:rsid w:val="01DB7505"/>
    <w:rsid w:val="020551FA"/>
    <w:rsid w:val="020E3ECC"/>
    <w:rsid w:val="02120264"/>
    <w:rsid w:val="02167A7B"/>
    <w:rsid w:val="02246C5A"/>
    <w:rsid w:val="022E092D"/>
    <w:rsid w:val="022E2F3F"/>
    <w:rsid w:val="02346A00"/>
    <w:rsid w:val="02561C2D"/>
    <w:rsid w:val="025D26A2"/>
    <w:rsid w:val="026078AF"/>
    <w:rsid w:val="02630619"/>
    <w:rsid w:val="02692C00"/>
    <w:rsid w:val="026D1658"/>
    <w:rsid w:val="02751B4D"/>
    <w:rsid w:val="02757B6A"/>
    <w:rsid w:val="028D0C8A"/>
    <w:rsid w:val="02902719"/>
    <w:rsid w:val="02926B4B"/>
    <w:rsid w:val="02C53254"/>
    <w:rsid w:val="02E5709E"/>
    <w:rsid w:val="02E83926"/>
    <w:rsid w:val="02EC071A"/>
    <w:rsid w:val="03055998"/>
    <w:rsid w:val="0334669D"/>
    <w:rsid w:val="03354332"/>
    <w:rsid w:val="033554D1"/>
    <w:rsid w:val="03361EF4"/>
    <w:rsid w:val="0352205A"/>
    <w:rsid w:val="035A7196"/>
    <w:rsid w:val="036135E4"/>
    <w:rsid w:val="03681841"/>
    <w:rsid w:val="036B60E6"/>
    <w:rsid w:val="036C1EF8"/>
    <w:rsid w:val="039F1561"/>
    <w:rsid w:val="039F2434"/>
    <w:rsid w:val="03A240F9"/>
    <w:rsid w:val="03AE2731"/>
    <w:rsid w:val="03BB3134"/>
    <w:rsid w:val="03C7170A"/>
    <w:rsid w:val="03EC1EE9"/>
    <w:rsid w:val="041045F6"/>
    <w:rsid w:val="041A0943"/>
    <w:rsid w:val="041A5063"/>
    <w:rsid w:val="041D7214"/>
    <w:rsid w:val="04342B36"/>
    <w:rsid w:val="046827DB"/>
    <w:rsid w:val="047432AB"/>
    <w:rsid w:val="047F0B54"/>
    <w:rsid w:val="04806C11"/>
    <w:rsid w:val="048D234E"/>
    <w:rsid w:val="049A38F5"/>
    <w:rsid w:val="049B198D"/>
    <w:rsid w:val="04B5489C"/>
    <w:rsid w:val="04C415C5"/>
    <w:rsid w:val="04E31DC3"/>
    <w:rsid w:val="05293352"/>
    <w:rsid w:val="0545579D"/>
    <w:rsid w:val="054653AB"/>
    <w:rsid w:val="054E3B77"/>
    <w:rsid w:val="056C199B"/>
    <w:rsid w:val="056E6642"/>
    <w:rsid w:val="058676EA"/>
    <w:rsid w:val="05AE0FC4"/>
    <w:rsid w:val="05AE3FB5"/>
    <w:rsid w:val="05C369B6"/>
    <w:rsid w:val="05C906D5"/>
    <w:rsid w:val="05D36A51"/>
    <w:rsid w:val="05D46891"/>
    <w:rsid w:val="05D774F6"/>
    <w:rsid w:val="05E56FF8"/>
    <w:rsid w:val="05F906FE"/>
    <w:rsid w:val="062367C3"/>
    <w:rsid w:val="06281698"/>
    <w:rsid w:val="06373C76"/>
    <w:rsid w:val="06417621"/>
    <w:rsid w:val="064C2AE4"/>
    <w:rsid w:val="0656557E"/>
    <w:rsid w:val="06633776"/>
    <w:rsid w:val="06774ABF"/>
    <w:rsid w:val="06881BDA"/>
    <w:rsid w:val="068E1E33"/>
    <w:rsid w:val="068E308E"/>
    <w:rsid w:val="06A75A26"/>
    <w:rsid w:val="06A91915"/>
    <w:rsid w:val="06AA0A01"/>
    <w:rsid w:val="06B341C7"/>
    <w:rsid w:val="06B66A41"/>
    <w:rsid w:val="06C214C6"/>
    <w:rsid w:val="06DE7DB6"/>
    <w:rsid w:val="06E656F4"/>
    <w:rsid w:val="06FA18F4"/>
    <w:rsid w:val="07145F07"/>
    <w:rsid w:val="071C3B5A"/>
    <w:rsid w:val="072B76AA"/>
    <w:rsid w:val="0738478E"/>
    <w:rsid w:val="073E38EE"/>
    <w:rsid w:val="07455490"/>
    <w:rsid w:val="074A4CB9"/>
    <w:rsid w:val="074B4182"/>
    <w:rsid w:val="074B4349"/>
    <w:rsid w:val="074D76E1"/>
    <w:rsid w:val="07514BF3"/>
    <w:rsid w:val="07560E4C"/>
    <w:rsid w:val="075944FA"/>
    <w:rsid w:val="076A4AF4"/>
    <w:rsid w:val="0786124A"/>
    <w:rsid w:val="078F2105"/>
    <w:rsid w:val="07931889"/>
    <w:rsid w:val="079B1879"/>
    <w:rsid w:val="07C2662C"/>
    <w:rsid w:val="07D16C67"/>
    <w:rsid w:val="07D7715D"/>
    <w:rsid w:val="07F21D34"/>
    <w:rsid w:val="07F46351"/>
    <w:rsid w:val="081671CF"/>
    <w:rsid w:val="082150F2"/>
    <w:rsid w:val="082347F3"/>
    <w:rsid w:val="082C30DD"/>
    <w:rsid w:val="08300CBE"/>
    <w:rsid w:val="083B7897"/>
    <w:rsid w:val="08430AF4"/>
    <w:rsid w:val="084B68B4"/>
    <w:rsid w:val="0855288D"/>
    <w:rsid w:val="0856498E"/>
    <w:rsid w:val="089B0671"/>
    <w:rsid w:val="08A648DF"/>
    <w:rsid w:val="08B51BCD"/>
    <w:rsid w:val="08C146AA"/>
    <w:rsid w:val="08C60C95"/>
    <w:rsid w:val="08D9786E"/>
    <w:rsid w:val="08DB63B1"/>
    <w:rsid w:val="08E2398D"/>
    <w:rsid w:val="08E2415D"/>
    <w:rsid w:val="08E4591A"/>
    <w:rsid w:val="08E6339E"/>
    <w:rsid w:val="08FE00C0"/>
    <w:rsid w:val="092F7906"/>
    <w:rsid w:val="094207D6"/>
    <w:rsid w:val="095269C9"/>
    <w:rsid w:val="0974064D"/>
    <w:rsid w:val="09757498"/>
    <w:rsid w:val="09866A81"/>
    <w:rsid w:val="09957DFB"/>
    <w:rsid w:val="09A12DA3"/>
    <w:rsid w:val="09A33EBD"/>
    <w:rsid w:val="09BE3529"/>
    <w:rsid w:val="09BF49D3"/>
    <w:rsid w:val="09C57161"/>
    <w:rsid w:val="09F95876"/>
    <w:rsid w:val="0A0D35B4"/>
    <w:rsid w:val="0A0D4AE7"/>
    <w:rsid w:val="0A0F2F97"/>
    <w:rsid w:val="0A142549"/>
    <w:rsid w:val="0A1C0548"/>
    <w:rsid w:val="0A1C12B8"/>
    <w:rsid w:val="0A247DEA"/>
    <w:rsid w:val="0A6846D5"/>
    <w:rsid w:val="0A6C345E"/>
    <w:rsid w:val="0A6D4645"/>
    <w:rsid w:val="0A75495C"/>
    <w:rsid w:val="0A7724DF"/>
    <w:rsid w:val="0AB83051"/>
    <w:rsid w:val="0ABB4B9E"/>
    <w:rsid w:val="0ABF46FF"/>
    <w:rsid w:val="0AD17251"/>
    <w:rsid w:val="0AD576A9"/>
    <w:rsid w:val="0ADD2B51"/>
    <w:rsid w:val="0ADF4CDA"/>
    <w:rsid w:val="0AF122BF"/>
    <w:rsid w:val="0AF67662"/>
    <w:rsid w:val="0B0976F8"/>
    <w:rsid w:val="0B214D39"/>
    <w:rsid w:val="0B265CC8"/>
    <w:rsid w:val="0B295877"/>
    <w:rsid w:val="0B640001"/>
    <w:rsid w:val="0B732550"/>
    <w:rsid w:val="0B9E1ABC"/>
    <w:rsid w:val="0BA1660B"/>
    <w:rsid w:val="0BAB797B"/>
    <w:rsid w:val="0BAF2227"/>
    <w:rsid w:val="0BBF5A5A"/>
    <w:rsid w:val="0BC73BB7"/>
    <w:rsid w:val="0BE81EB8"/>
    <w:rsid w:val="0C094E5F"/>
    <w:rsid w:val="0C404828"/>
    <w:rsid w:val="0C5520DE"/>
    <w:rsid w:val="0C650BB9"/>
    <w:rsid w:val="0C814242"/>
    <w:rsid w:val="0C970BCA"/>
    <w:rsid w:val="0CA40641"/>
    <w:rsid w:val="0CA72F16"/>
    <w:rsid w:val="0CA9777D"/>
    <w:rsid w:val="0CAB35D5"/>
    <w:rsid w:val="0CB12D97"/>
    <w:rsid w:val="0CB878EE"/>
    <w:rsid w:val="0CC02027"/>
    <w:rsid w:val="0CD24708"/>
    <w:rsid w:val="0CF725DE"/>
    <w:rsid w:val="0D00715D"/>
    <w:rsid w:val="0D070DB1"/>
    <w:rsid w:val="0D282D52"/>
    <w:rsid w:val="0D2F5BED"/>
    <w:rsid w:val="0D423AE9"/>
    <w:rsid w:val="0D53203E"/>
    <w:rsid w:val="0D536891"/>
    <w:rsid w:val="0D7045B0"/>
    <w:rsid w:val="0D742662"/>
    <w:rsid w:val="0D7474B1"/>
    <w:rsid w:val="0D8801FC"/>
    <w:rsid w:val="0D9B0241"/>
    <w:rsid w:val="0DB0419A"/>
    <w:rsid w:val="0DB152A1"/>
    <w:rsid w:val="0DC94E39"/>
    <w:rsid w:val="0DD1294D"/>
    <w:rsid w:val="0DD63B9C"/>
    <w:rsid w:val="0DE83BEE"/>
    <w:rsid w:val="0E0A7967"/>
    <w:rsid w:val="0E170DC7"/>
    <w:rsid w:val="0E1C0A18"/>
    <w:rsid w:val="0E1E6D76"/>
    <w:rsid w:val="0E496C0F"/>
    <w:rsid w:val="0E5151FE"/>
    <w:rsid w:val="0E5A6E07"/>
    <w:rsid w:val="0E6067CD"/>
    <w:rsid w:val="0E801716"/>
    <w:rsid w:val="0E814F10"/>
    <w:rsid w:val="0E835C9D"/>
    <w:rsid w:val="0E933FBF"/>
    <w:rsid w:val="0EBA6D8E"/>
    <w:rsid w:val="0ED72C0B"/>
    <w:rsid w:val="0EE556F3"/>
    <w:rsid w:val="0EF35133"/>
    <w:rsid w:val="0F007425"/>
    <w:rsid w:val="0F0F7358"/>
    <w:rsid w:val="0F256553"/>
    <w:rsid w:val="0F331638"/>
    <w:rsid w:val="0F4A7DB2"/>
    <w:rsid w:val="0F7B25C2"/>
    <w:rsid w:val="0F8B1E0E"/>
    <w:rsid w:val="0F8D4662"/>
    <w:rsid w:val="0F920A07"/>
    <w:rsid w:val="0FB123CB"/>
    <w:rsid w:val="0FC32328"/>
    <w:rsid w:val="0FE646B5"/>
    <w:rsid w:val="101365C6"/>
    <w:rsid w:val="10262AF1"/>
    <w:rsid w:val="10300EA9"/>
    <w:rsid w:val="104930FB"/>
    <w:rsid w:val="10685B27"/>
    <w:rsid w:val="10750667"/>
    <w:rsid w:val="108171CB"/>
    <w:rsid w:val="108C128B"/>
    <w:rsid w:val="108C44C3"/>
    <w:rsid w:val="10916DCF"/>
    <w:rsid w:val="111A46B9"/>
    <w:rsid w:val="112150F9"/>
    <w:rsid w:val="11241515"/>
    <w:rsid w:val="1135589F"/>
    <w:rsid w:val="113D54BE"/>
    <w:rsid w:val="114D3C33"/>
    <w:rsid w:val="114D7AFC"/>
    <w:rsid w:val="115371D6"/>
    <w:rsid w:val="11592619"/>
    <w:rsid w:val="116D2DB2"/>
    <w:rsid w:val="11801322"/>
    <w:rsid w:val="11883002"/>
    <w:rsid w:val="119815A7"/>
    <w:rsid w:val="119E3C95"/>
    <w:rsid w:val="11B73A37"/>
    <w:rsid w:val="11C11079"/>
    <w:rsid w:val="121C7702"/>
    <w:rsid w:val="121F126F"/>
    <w:rsid w:val="122D59B8"/>
    <w:rsid w:val="1231421D"/>
    <w:rsid w:val="12317766"/>
    <w:rsid w:val="12444487"/>
    <w:rsid w:val="1282303D"/>
    <w:rsid w:val="128C2E7D"/>
    <w:rsid w:val="129F35E1"/>
    <w:rsid w:val="12B04E53"/>
    <w:rsid w:val="12B4681E"/>
    <w:rsid w:val="12C9489F"/>
    <w:rsid w:val="12CC75A6"/>
    <w:rsid w:val="12F728D6"/>
    <w:rsid w:val="12F96422"/>
    <w:rsid w:val="13003C97"/>
    <w:rsid w:val="133E2D63"/>
    <w:rsid w:val="13422EDA"/>
    <w:rsid w:val="134750C3"/>
    <w:rsid w:val="135810CF"/>
    <w:rsid w:val="135832B9"/>
    <w:rsid w:val="13596C2A"/>
    <w:rsid w:val="135C39D8"/>
    <w:rsid w:val="136C62F6"/>
    <w:rsid w:val="13853062"/>
    <w:rsid w:val="139A48B7"/>
    <w:rsid w:val="139C39C1"/>
    <w:rsid w:val="13B027E0"/>
    <w:rsid w:val="13BD6FDA"/>
    <w:rsid w:val="13E840FE"/>
    <w:rsid w:val="13F94465"/>
    <w:rsid w:val="14130970"/>
    <w:rsid w:val="141A5802"/>
    <w:rsid w:val="141B6920"/>
    <w:rsid w:val="141D78CB"/>
    <w:rsid w:val="142162C4"/>
    <w:rsid w:val="142E6C4C"/>
    <w:rsid w:val="14490A5A"/>
    <w:rsid w:val="145675E8"/>
    <w:rsid w:val="14683D46"/>
    <w:rsid w:val="14724CCC"/>
    <w:rsid w:val="147875E5"/>
    <w:rsid w:val="147B3693"/>
    <w:rsid w:val="148728D6"/>
    <w:rsid w:val="148E702C"/>
    <w:rsid w:val="149E0DDF"/>
    <w:rsid w:val="14A35AD3"/>
    <w:rsid w:val="14BA22F8"/>
    <w:rsid w:val="14BC2648"/>
    <w:rsid w:val="14E57551"/>
    <w:rsid w:val="15343271"/>
    <w:rsid w:val="153A1815"/>
    <w:rsid w:val="15460767"/>
    <w:rsid w:val="1549287C"/>
    <w:rsid w:val="155E3867"/>
    <w:rsid w:val="15695E20"/>
    <w:rsid w:val="156E2329"/>
    <w:rsid w:val="157E438D"/>
    <w:rsid w:val="157F340E"/>
    <w:rsid w:val="158748D3"/>
    <w:rsid w:val="158F4193"/>
    <w:rsid w:val="159135D8"/>
    <w:rsid w:val="15C8535C"/>
    <w:rsid w:val="15D648F0"/>
    <w:rsid w:val="16031198"/>
    <w:rsid w:val="1603750A"/>
    <w:rsid w:val="160514AC"/>
    <w:rsid w:val="1610507E"/>
    <w:rsid w:val="161B13B7"/>
    <w:rsid w:val="16330318"/>
    <w:rsid w:val="16683B9A"/>
    <w:rsid w:val="168C6A46"/>
    <w:rsid w:val="16986755"/>
    <w:rsid w:val="16A6745D"/>
    <w:rsid w:val="16AD6C87"/>
    <w:rsid w:val="16CF7E8F"/>
    <w:rsid w:val="16D10B2C"/>
    <w:rsid w:val="16D5598A"/>
    <w:rsid w:val="16DA1223"/>
    <w:rsid w:val="1713136F"/>
    <w:rsid w:val="17295CE8"/>
    <w:rsid w:val="173E25C5"/>
    <w:rsid w:val="175A65CC"/>
    <w:rsid w:val="17615D9A"/>
    <w:rsid w:val="176F6C16"/>
    <w:rsid w:val="177127D8"/>
    <w:rsid w:val="17794427"/>
    <w:rsid w:val="178B1425"/>
    <w:rsid w:val="179C1F8D"/>
    <w:rsid w:val="17B5194B"/>
    <w:rsid w:val="17B65B7E"/>
    <w:rsid w:val="17BD1A13"/>
    <w:rsid w:val="17BE494F"/>
    <w:rsid w:val="17C728E5"/>
    <w:rsid w:val="17D357FF"/>
    <w:rsid w:val="17D61C47"/>
    <w:rsid w:val="17E405AA"/>
    <w:rsid w:val="17E444DE"/>
    <w:rsid w:val="18153112"/>
    <w:rsid w:val="1830132A"/>
    <w:rsid w:val="183F11D4"/>
    <w:rsid w:val="184577A7"/>
    <w:rsid w:val="18556C18"/>
    <w:rsid w:val="186C0076"/>
    <w:rsid w:val="187B2DEB"/>
    <w:rsid w:val="187F73CF"/>
    <w:rsid w:val="188B421B"/>
    <w:rsid w:val="188D2B5B"/>
    <w:rsid w:val="18B01289"/>
    <w:rsid w:val="18D653E1"/>
    <w:rsid w:val="18D776BE"/>
    <w:rsid w:val="190E4D53"/>
    <w:rsid w:val="191B0507"/>
    <w:rsid w:val="1941577D"/>
    <w:rsid w:val="19440927"/>
    <w:rsid w:val="195859BE"/>
    <w:rsid w:val="19637885"/>
    <w:rsid w:val="198020CE"/>
    <w:rsid w:val="19A83B22"/>
    <w:rsid w:val="19A97964"/>
    <w:rsid w:val="19AF43EE"/>
    <w:rsid w:val="19B2298E"/>
    <w:rsid w:val="19B7038F"/>
    <w:rsid w:val="19BF1FF6"/>
    <w:rsid w:val="19C751BD"/>
    <w:rsid w:val="19C80B3D"/>
    <w:rsid w:val="19E853F3"/>
    <w:rsid w:val="19EB008A"/>
    <w:rsid w:val="19F75B46"/>
    <w:rsid w:val="1A126E8E"/>
    <w:rsid w:val="1A147FF5"/>
    <w:rsid w:val="1A166A28"/>
    <w:rsid w:val="1A23234D"/>
    <w:rsid w:val="1A441E35"/>
    <w:rsid w:val="1A4C4546"/>
    <w:rsid w:val="1A5809F5"/>
    <w:rsid w:val="1A684066"/>
    <w:rsid w:val="1A80208F"/>
    <w:rsid w:val="1AA420D3"/>
    <w:rsid w:val="1AAF2F97"/>
    <w:rsid w:val="1ACA2B85"/>
    <w:rsid w:val="1ACD491D"/>
    <w:rsid w:val="1ACE0356"/>
    <w:rsid w:val="1AE47FE9"/>
    <w:rsid w:val="1AFD133B"/>
    <w:rsid w:val="1B0C751D"/>
    <w:rsid w:val="1B114913"/>
    <w:rsid w:val="1B2227FF"/>
    <w:rsid w:val="1B2E195E"/>
    <w:rsid w:val="1B307F7C"/>
    <w:rsid w:val="1B472D5E"/>
    <w:rsid w:val="1B4B1421"/>
    <w:rsid w:val="1B555F10"/>
    <w:rsid w:val="1B587DCF"/>
    <w:rsid w:val="1B597B3E"/>
    <w:rsid w:val="1B606856"/>
    <w:rsid w:val="1B701FDC"/>
    <w:rsid w:val="1B7E4FD7"/>
    <w:rsid w:val="1BBF7352"/>
    <w:rsid w:val="1BC50ADD"/>
    <w:rsid w:val="1BD7640C"/>
    <w:rsid w:val="1BDA5157"/>
    <w:rsid w:val="1BDC38BD"/>
    <w:rsid w:val="1C022927"/>
    <w:rsid w:val="1C364635"/>
    <w:rsid w:val="1C565C93"/>
    <w:rsid w:val="1C61524B"/>
    <w:rsid w:val="1C637B0F"/>
    <w:rsid w:val="1C82629D"/>
    <w:rsid w:val="1C861579"/>
    <w:rsid w:val="1C876B17"/>
    <w:rsid w:val="1C9577AB"/>
    <w:rsid w:val="1C9F2871"/>
    <w:rsid w:val="1CA42D95"/>
    <w:rsid w:val="1CC26CC4"/>
    <w:rsid w:val="1CC709A3"/>
    <w:rsid w:val="1CD15330"/>
    <w:rsid w:val="1CE026A9"/>
    <w:rsid w:val="1CEE21E3"/>
    <w:rsid w:val="1CF54ED4"/>
    <w:rsid w:val="1D162F49"/>
    <w:rsid w:val="1D295586"/>
    <w:rsid w:val="1D411D96"/>
    <w:rsid w:val="1D466BA8"/>
    <w:rsid w:val="1D57464C"/>
    <w:rsid w:val="1D6111D5"/>
    <w:rsid w:val="1D7E6557"/>
    <w:rsid w:val="1D7F51B5"/>
    <w:rsid w:val="1D8A1C76"/>
    <w:rsid w:val="1DA435E1"/>
    <w:rsid w:val="1DD166F6"/>
    <w:rsid w:val="1DDC2EC8"/>
    <w:rsid w:val="1DE13B4C"/>
    <w:rsid w:val="1DFC5A40"/>
    <w:rsid w:val="1E1A3F23"/>
    <w:rsid w:val="1E31754D"/>
    <w:rsid w:val="1E3A3945"/>
    <w:rsid w:val="1E4521BE"/>
    <w:rsid w:val="1E462D88"/>
    <w:rsid w:val="1E817456"/>
    <w:rsid w:val="1E865337"/>
    <w:rsid w:val="1E972AD4"/>
    <w:rsid w:val="1EB52646"/>
    <w:rsid w:val="1EC54075"/>
    <w:rsid w:val="1EC96475"/>
    <w:rsid w:val="1EE81074"/>
    <w:rsid w:val="1EEB4B8C"/>
    <w:rsid w:val="1EF87A71"/>
    <w:rsid w:val="1EFA47DD"/>
    <w:rsid w:val="1EFB2839"/>
    <w:rsid w:val="1F0E558D"/>
    <w:rsid w:val="1F1D75AD"/>
    <w:rsid w:val="1F3D4C72"/>
    <w:rsid w:val="1F864218"/>
    <w:rsid w:val="1F9412E8"/>
    <w:rsid w:val="1FA46BB1"/>
    <w:rsid w:val="1FC46037"/>
    <w:rsid w:val="1FD3687B"/>
    <w:rsid w:val="1FE15467"/>
    <w:rsid w:val="200132D9"/>
    <w:rsid w:val="20055FCD"/>
    <w:rsid w:val="201B7C2F"/>
    <w:rsid w:val="201E04C2"/>
    <w:rsid w:val="203B3EC9"/>
    <w:rsid w:val="20490AA7"/>
    <w:rsid w:val="2059623D"/>
    <w:rsid w:val="205D75F6"/>
    <w:rsid w:val="20695EA5"/>
    <w:rsid w:val="20743889"/>
    <w:rsid w:val="2096696B"/>
    <w:rsid w:val="20970BD9"/>
    <w:rsid w:val="209B7052"/>
    <w:rsid w:val="20A113ED"/>
    <w:rsid w:val="20AA694F"/>
    <w:rsid w:val="20B86999"/>
    <w:rsid w:val="20BC0C7C"/>
    <w:rsid w:val="20FA1F1D"/>
    <w:rsid w:val="211220E0"/>
    <w:rsid w:val="21260B4E"/>
    <w:rsid w:val="21662CAD"/>
    <w:rsid w:val="2194175C"/>
    <w:rsid w:val="21A67E88"/>
    <w:rsid w:val="21CD1181"/>
    <w:rsid w:val="21D246D0"/>
    <w:rsid w:val="21D67FD3"/>
    <w:rsid w:val="21E42164"/>
    <w:rsid w:val="21F53137"/>
    <w:rsid w:val="21FC3C7B"/>
    <w:rsid w:val="220C1CE3"/>
    <w:rsid w:val="22135881"/>
    <w:rsid w:val="2216490B"/>
    <w:rsid w:val="221E3975"/>
    <w:rsid w:val="222339E6"/>
    <w:rsid w:val="22305340"/>
    <w:rsid w:val="22324EBA"/>
    <w:rsid w:val="22467D0D"/>
    <w:rsid w:val="225838E2"/>
    <w:rsid w:val="227A404C"/>
    <w:rsid w:val="228566C5"/>
    <w:rsid w:val="22982183"/>
    <w:rsid w:val="22A264F3"/>
    <w:rsid w:val="22A76F03"/>
    <w:rsid w:val="22B65E20"/>
    <w:rsid w:val="22CE2D92"/>
    <w:rsid w:val="22D7592A"/>
    <w:rsid w:val="22DC4E55"/>
    <w:rsid w:val="230075F6"/>
    <w:rsid w:val="23104F66"/>
    <w:rsid w:val="2340688E"/>
    <w:rsid w:val="235142B8"/>
    <w:rsid w:val="236457F5"/>
    <w:rsid w:val="23761E20"/>
    <w:rsid w:val="23811B30"/>
    <w:rsid w:val="23AD60C8"/>
    <w:rsid w:val="23BD3F5D"/>
    <w:rsid w:val="23ED2A7E"/>
    <w:rsid w:val="23F95E74"/>
    <w:rsid w:val="240B24C4"/>
    <w:rsid w:val="241A1EE9"/>
    <w:rsid w:val="24200CCC"/>
    <w:rsid w:val="24221C80"/>
    <w:rsid w:val="24231E1B"/>
    <w:rsid w:val="242E16B1"/>
    <w:rsid w:val="243D5A04"/>
    <w:rsid w:val="243E66FC"/>
    <w:rsid w:val="244B2C23"/>
    <w:rsid w:val="24614D1C"/>
    <w:rsid w:val="24694CC1"/>
    <w:rsid w:val="246C160A"/>
    <w:rsid w:val="24B40AD3"/>
    <w:rsid w:val="24B442FF"/>
    <w:rsid w:val="24B914BA"/>
    <w:rsid w:val="24EB1E21"/>
    <w:rsid w:val="24EC4844"/>
    <w:rsid w:val="24F22E46"/>
    <w:rsid w:val="250552A8"/>
    <w:rsid w:val="252076A8"/>
    <w:rsid w:val="252514BD"/>
    <w:rsid w:val="25493C40"/>
    <w:rsid w:val="254D5804"/>
    <w:rsid w:val="255811A2"/>
    <w:rsid w:val="25853C30"/>
    <w:rsid w:val="25B9635B"/>
    <w:rsid w:val="25D00147"/>
    <w:rsid w:val="25E64ADF"/>
    <w:rsid w:val="25ED6F9A"/>
    <w:rsid w:val="260A61C8"/>
    <w:rsid w:val="260B77C1"/>
    <w:rsid w:val="260D0EE0"/>
    <w:rsid w:val="26140326"/>
    <w:rsid w:val="26223739"/>
    <w:rsid w:val="263033E7"/>
    <w:rsid w:val="26505653"/>
    <w:rsid w:val="26526BFF"/>
    <w:rsid w:val="265A3A8D"/>
    <w:rsid w:val="26693285"/>
    <w:rsid w:val="266E665C"/>
    <w:rsid w:val="267319A7"/>
    <w:rsid w:val="267F0CA4"/>
    <w:rsid w:val="2688719E"/>
    <w:rsid w:val="2694453B"/>
    <w:rsid w:val="26986C1A"/>
    <w:rsid w:val="269F2C79"/>
    <w:rsid w:val="26BE1B38"/>
    <w:rsid w:val="26CC53AF"/>
    <w:rsid w:val="26CE1758"/>
    <w:rsid w:val="26D061F2"/>
    <w:rsid w:val="26DC7AA4"/>
    <w:rsid w:val="26E949B3"/>
    <w:rsid w:val="26F97B7A"/>
    <w:rsid w:val="27024153"/>
    <w:rsid w:val="270371A6"/>
    <w:rsid w:val="270B4ABA"/>
    <w:rsid w:val="27266BA8"/>
    <w:rsid w:val="274D17A2"/>
    <w:rsid w:val="276F1D74"/>
    <w:rsid w:val="27824046"/>
    <w:rsid w:val="27825F07"/>
    <w:rsid w:val="278F7D03"/>
    <w:rsid w:val="27CB65BA"/>
    <w:rsid w:val="27CF1D5D"/>
    <w:rsid w:val="27D174E8"/>
    <w:rsid w:val="27D72A6B"/>
    <w:rsid w:val="27E24120"/>
    <w:rsid w:val="27F74906"/>
    <w:rsid w:val="27FA53FA"/>
    <w:rsid w:val="28112343"/>
    <w:rsid w:val="281A1DFE"/>
    <w:rsid w:val="28263750"/>
    <w:rsid w:val="28303F98"/>
    <w:rsid w:val="28356975"/>
    <w:rsid w:val="28376537"/>
    <w:rsid w:val="284F2928"/>
    <w:rsid w:val="286A7F65"/>
    <w:rsid w:val="286F13E0"/>
    <w:rsid w:val="28842952"/>
    <w:rsid w:val="28911B50"/>
    <w:rsid w:val="28A237A0"/>
    <w:rsid w:val="28A94E3B"/>
    <w:rsid w:val="28B3778F"/>
    <w:rsid w:val="28C61A80"/>
    <w:rsid w:val="28D876A5"/>
    <w:rsid w:val="28EC0809"/>
    <w:rsid w:val="28F47822"/>
    <w:rsid w:val="28F73F7F"/>
    <w:rsid w:val="28FA7828"/>
    <w:rsid w:val="290210B4"/>
    <w:rsid w:val="292223F5"/>
    <w:rsid w:val="293C32B4"/>
    <w:rsid w:val="293F34C7"/>
    <w:rsid w:val="294A2506"/>
    <w:rsid w:val="294F4A2B"/>
    <w:rsid w:val="299665E1"/>
    <w:rsid w:val="299F56D7"/>
    <w:rsid w:val="29A91378"/>
    <w:rsid w:val="29AB6306"/>
    <w:rsid w:val="29B9406A"/>
    <w:rsid w:val="29C24FD9"/>
    <w:rsid w:val="29C541C6"/>
    <w:rsid w:val="29D234F2"/>
    <w:rsid w:val="29FF6B0B"/>
    <w:rsid w:val="2A0C59B4"/>
    <w:rsid w:val="2A21082C"/>
    <w:rsid w:val="2A3D1E48"/>
    <w:rsid w:val="2A4468DB"/>
    <w:rsid w:val="2A6A6D9F"/>
    <w:rsid w:val="2A724F5E"/>
    <w:rsid w:val="2A76487E"/>
    <w:rsid w:val="2A8010EC"/>
    <w:rsid w:val="2AA47CF8"/>
    <w:rsid w:val="2AB573D4"/>
    <w:rsid w:val="2AD16F2B"/>
    <w:rsid w:val="2AD41203"/>
    <w:rsid w:val="2AD66996"/>
    <w:rsid w:val="2ADE6E2D"/>
    <w:rsid w:val="2B095FA7"/>
    <w:rsid w:val="2B1A4706"/>
    <w:rsid w:val="2B1B6B1C"/>
    <w:rsid w:val="2B2D0057"/>
    <w:rsid w:val="2B2E003A"/>
    <w:rsid w:val="2B3060A0"/>
    <w:rsid w:val="2B37541A"/>
    <w:rsid w:val="2B401363"/>
    <w:rsid w:val="2B4063EE"/>
    <w:rsid w:val="2B705182"/>
    <w:rsid w:val="2B7A2C5E"/>
    <w:rsid w:val="2B8769B8"/>
    <w:rsid w:val="2B8860FF"/>
    <w:rsid w:val="2BAA0F33"/>
    <w:rsid w:val="2BBC6D0A"/>
    <w:rsid w:val="2BC2642C"/>
    <w:rsid w:val="2BE6518F"/>
    <w:rsid w:val="2BF40FEA"/>
    <w:rsid w:val="2BFE1F12"/>
    <w:rsid w:val="2C0C303A"/>
    <w:rsid w:val="2C0F5447"/>
    <w:rsid w:val="2C147A42"/>
    <w:rsid w:val="2C18052A"/>
    <w:rsid w:val="2C3244AC"/>
    <w:rsid w:val="2C361146"/>
    <w:rsid w:val="2C504112"/>
    <w:rsid w:val="2C527E9C"/>
    <w:rsid w:val="2C963F83"/>
    <w:rsid w:val="2CAC0BF2"/>
    <w:rsid w:val="2CAC7435"/>
    <w:rsid w:val="2CBB24A9"/>
    <w:rsid w:val="2CBE1AEE"/>
    <w:rsid w:val="2CC2464A"/>
    <w:rsid w:val="2CCF483A"/>
    <w:rsid w:val="2CD46D37"/>
    <w:rsid w:val="2CFC6393"/>
    <w:rsid w:val="2D155100"/>
    <w:rsid w:val="2D26641F"/>
    <w:rsid w:val="2D334E39"/>
    <w:rsid w:val="2D4C2464"/>
    <w:rsid w:val="2D6118D2"/>
    <w:rsid w:val="2D7858B9"/>
    <w:rsid w:val="2D804E15"/>
    <w:rsid w:val="2D851DCA"/>
    <w:rsid w:val="2D903A92"/>
    <w:rsid w:val="2D92210A"/>
    <w:rsid w:val="2DBC7A93"/>
    <w:rsid w:val="2DC65FF2"/>
    <w:rsid w:val="2DE870A7"/>
    <w:rsid w:val="2DEC46DC"/>
    <w:rsid w:val="2DEC7F0D"/>
    <w:rsid w:val="2E165840"/>
    <w:rsid w:val="2E177035"/>
    <w:rsid w:val="2E42789C"/>
    <w:rsid w:val="2E4B6F13"/>
    <w:rsid w:val="2E62446C"/>
    <w:rsid w:val="2E6D1B47"/>
    <w:rsid w:val="2E8C685F"/>
    <w:rsid w:val="2EB344B7"/>
    <w:rsid w:val="2EDB4443"/>
    <w:rsid w:val="2EE03E34"/>
    <w:rsid w:val="2EE904E3"/>
    <w:rsid w:val="2EF203A6"/>
    <w:rsid w:val="2EF87F80"/>
    <w:rsid w:val="2F1B0852"/>
    <w:rsid w:val="2F4F0DE9"/>
    <w:rsid w:val="2F59428E"/>
    <w:rsid w:val="2F6434CC"/>
    <w:rsid w:val="2F7F0834"/>
    <w:rsid w:val="2F8817A0"/>
    <w:rsid w:val="2F9D0CE0"/>
    <w:rsid w:val="2FB450C9"/>
    <w:rsid w:val="2FB758CD"/>
    <w:rsid w:val="2FB82D63"/>
    <w:rsid w:val="2FBC7C50"/>
    <w:rsid w:val="2FBD1F5E"/>
    <w:rsid w:val="2FC76C37"/>
    <w:rsid w:val="2FDD7EEE"/>
    <w:rsid w:val="2FE25E21"/>
    <w:rsid w:val="2FE46E3D"/>
    <w:rsid w:val="2FF85C50"/>
    <w:rsid w:val="2FFE0060"/>
    <w:rsid w:val="2FFE38E3"/>
    <w:rsid w:val="300465D7"/>
    <w:rsid w:val="301453A3"/>
    <w:rsid w:val="3024245A"/>
    <w:rsid w:val="3038078C"/>
    <w:rsid w:val="306472A3"/>
    <w:rsid w:val="30791A9F"/>
    <w:rsid w:val="307F181C"/>
    <w:rsid w:val="30891CFA"/>
    <w:rsid w:val="30A31A97"/>
    <w:rsid w:val="30B339A7"/>
    <w:rsid w:val="30B47766"/>
    <w:rsid w:val="30B839CE"/>
    <w:rsid w:val="30B86A1C"/>
    <w:rsid w:val="30C43C6A"/>
    <w:rsid w:val="30C460A2"/>
    <w:rsid w:val="30CD780F"/>
    <w:rsid w:val="30F47575"/>
    <w:rsid w:val="310F258D"/>
    <w:rsid w:val="31140D19"/>
    <w:rsid w:val="312F3026"/>
    <w:rsid w:val="314B3F4C"/>
    <w:rsid w:val="31584B0B"/>
    <w:rsid w:val="315D050D"/>
    <w:rsid w:val="316F7964"/>
    <w:rsid w:val="317858B8"/>
    <w:rsid w:val="317A57AE"/>
    <w:rsid w:val="31805E8B"/>
    <w:rsid w:val="3196727B"/>
    <w:rsid w:val="31A35A47"/>
    <w:rsid w:val="31C22279"/>
    <w:rsid w:val="31C43934"/>
    <w:rsid w:val="31FD3450"/>
    <w:rsid w:val="321C7359"/>
    <w:rsid w:val="32217953"/>
    <w:rsid w:val="322C4892"/>
    <w:rsid w:val="32373A2F"/>
    <w:rsid w:val="32427114"/>
    <w:rsid w:val="32443A04"/>
    <w:rsid w:val="324F49F3"/>
    <w:rsid w:val="32632FCC"/>
    <w:rsid w:val="326B3A45"/>
    <w:rsid w:val="32795BAF"/>
    <w:rsid w:val="32A96689"/>
    <w:rsid w:val="32AC4132"/>
    <w:rsid w:val="32B46448"/>
    <w:rsid w:val="32CA3476"/>
    <w:rsid w:val="32CE47F5"/>
    <w:rsid w:val="331058DF"/>
    <w:rsid w:val="33304280"/>
    <w:rsid w:val="3330577A"/>
    <w:rsid w:val="33400287"/>
    <w:rsid w:val="334D0717"/>
    <w:rsid w:val="334E15B9"/>
    <w:rsid w:val="335C596E"/>
    <w:rsid w:val="33602789"/>
    <w:rsid w:val="33605CF2"/>
    <w:rsid w:val="337C6293"/>
    <w:rsid w:val="337F4F9D"/>
    <w:rsid w:val="33A00F93"/>
    <w:rsid w:val="33B53BB9"/>
    <w:rsid w:val="33C545DA"/>
    <w:rsid w:val="33DB1FE6"/>
    <w:rsid w:val="33F225E9"/>
    <w:rsid w:val="34264EAC"/>
    <w:rsid w:val="34526FC8"/>
    <w:rsid w:val="347913C6"/>
    <w:rsid w:val="349A629E"/>
    <w:rsid w:val="34A629FB"/>
    <w:rsid w:val="34B861EE"/>
    <w:rsid w:val="34D0690F"/>
    <w:rsid w:val="34DE6632"/>
    <w:rsid w:val="34E47BFD"/>
    <w:rsid w:val="34F01683"/>
    <w:rsid w:val="34FC5640"/>
    <w:rsid w:val="351E56E5"/>
    <w:rsid w:val="3522622C"/>
    <w:rsid w:val="35264424"/>
    <w:rsid w:val="35384CAC"/>
    <w:rsid w:val="35397A55"/>
    <w:rsid w:val="353E410D"/>
    <w:rsid w:val="353E62BD"/>
    <w:rsid w:val="35692B92"/>
    <w:rsid w:val="35895204"/>
    <w:rsid w:val="358F689B"/>
    <w:rsid w:val="359B2EA6"/>
    <w:rsid w:val="35D659A1"/>
    <w:rsid w:val="35EA7D70"/>
    <w:rsid w:val="35F03990"/>
    <w:rsid w:val="36141695"/>
    <w:rsid w:val="361B3EA2"/>
    <w:rsid w:val="362C71AB"/>
    <w:rsid w:val="365750E0"/>
    <w:rsid w:val="365D4047"/>
    <w:rsid w:val="365F1E21"/>
    <w:rsid w:val="366641C7"/>
    <w:rsid w:val="367D03BB"/>
    <w:rsid w:val="36802322"/>
    <w:rsid w:val="36892048"/>
    <w:rsid w:val="36943738"/>
    <w:rsid w:val="36A21819"/>
    <w:rsid w:val="36A36C11"/>
    <w:rsid w:val="36B01F44"/>
    <w:rsid w:val="36B979CA"/>
    <w:rsid w:val="36E6206C"/>
    <w:rsid w:val="36FEBE3C"/>
    <w:rsid w:val="373A7CC3"/>
    <w:rsid w:val="37580A12"/>
    <w:rsid w:val="375E3DC1"/>
    <w:rsid w:val="376D30E0"/>
    <w:rsid w:val="3787492E"/>
    <w:rsid w:val="37896187"/>
    <w:rsid w:val="378A6197"/>
    <w:rsid w:val="37AE0641"/>
    <w:rsid w:val="37B365C2"/>
    <w:rsid w:val="37C91582"/>
    <w:rsid w:val="37CC6AAF"/>
    <w:rsid w:val="37D36629"/>
    <w:rsid w:val="37E450E2"/>
    <w:rsid w:val="3818110A"/>
    <w:rsid w:val="381E1181"/>
    <w:rsid w:val="381E7968"/>
    <w:rsid w:val="382D0E0B"/>
    <w:rsid w:val="383F508F"/>
    <w:rsid w:val="385D135A"/>
    <w:rsid w:val="386762F8"/>
    <w:rsid w:val="38896976"/>
    <w:rsid w:val="3892600C"/>
    <w:rsid w:val="389B177F"/>
    <w:rsid w:val="38BBE807"/>
    <w:rsid w:val="38BC6551"/>
    <w:rsid w:val="38D93DCF"/>
    <w:rsid w:val="38DE1970"/>
    <w:rsid w:val="38DE4919"/>
    <w:rsid w:val="38F67CAD"/>
    <w:rsid w:val="39014302"/>
    <w:rsid w:val="3916413E"/>
    <w:rsid w:val="39207065"/>
    <w:rsid w:val="3955095D"/>
    <w:rsid w:val="396130A3"/>
    <w:rsid w:val="39633E7E"/>
    <w:rsid w:val="3970454D"/>
    <w:rsid w:val="397E20BA"/>
    <w:rsid w:val="39840C9F"/>
    <w:rsid w:val="39926F1E"/>
    <w:rsid w:val="399F2B08"/>
    <w:rsid w:val="39AD6725"/>
    <w:rsid w:val="39B26340"/>
    <w:rsid w:val="39B3181A"/>
    <w:rsid w:val="39D228E4"/>
    <w:rsid w:val="39E809E8"/>
    <w:rsid w:val="39EF0A47"/>
    <w:rsid w:val="3A004ACB"/>
    <w:rsid w:val="3A12082A"/>
    <w:rsid w:val="3A2B08D1"/>
    <w:rsid w:val="3A5D7466"/>
    <w:rsid w:val="3A8033EE"/>
    <w:rsid w:val="3A9611BA"/>
    <w:rsid w:val="3A974DCA"/>
    <w:rsid w:val="3A9879CE"/>
    <w:rsid w:val="3AA26C30"/>
    <w:rsid w:val="3AA42E01"/>
    <w:rsid w:val="3AAB03CB"/>
    <w:rsid w:val="3AB573F1"/>
    <w:rsid w:val="3AC4292C"/>
    <w:rsid w:val="3AC700D7"/>
    <w:rsid w:val="3AEC48F5"/>
    <w:rsid w:val="3AFF172C"/>
    <w:rsid w:val="3B011D13"/>
    <w:rsid w:val="3B0531DA"/>
    <w:rsid w:val="3B1673C7"/>
    <w:rsid w:val="3B351622"/>
    <w:rsid w:val="3B6A0E43"/>
    <w:rsid w:val="3B6B7FA5"/>
    <w:rsid w:val="3B8A5A9E"/>
    <w:rsid w:val="3B8B6F3F"/>
    <w:rsid w:val="3B8E6388"/>
    <w:rsid w:val="3B9A1242"/>
    <w:rsid w:val="3BA10F6C"/>
    <w:rsid w:val="3BC101F9"/>
    <w:rsid w:val="3BC90549"/>
    <w:rsid w:val="3BD77BAD"/>
    <w:rsid w:val="3BE632BA"/>
    <w:rsid w:val="3BEE4957"/>
    <w:rsid w:val="3BEE56F0"/>
    <w:rsid w:val="3BF330C5"/>
    <w:rsid w:val="3C027625"/>
    <w:rsid w:val="3C141047"/>
    <w:rsid w:val="3C270530"/>
    <w:rsid w:val="3C2F0741"/>
    <w:rsid w:val="3C393BF0"/>
    <w:rsid w:val="3C424F62"/>
    <w:rsid w:val="3C427C57"/>
    <w:rsid w:val="3C523700"/>
    <w:rsid w:val="3CA14ED3"/>
    <w:rsid w:val="3CB01756"/>
    <w:rsid w:val="3CD03775"/>
    <w:rsid w:val="3CD20E5C"/>
    <w:rsid w:val="3CD909A3"/>
    <w:rsid w:val="3D010A01"/>
    <w:rsid w:val="3D0F417A"/>
    <w:rsid w:val="3D1E1BDC"/>
    <w:rsid w:val="3D2F55CF"/>
    <w:rsid w:val="3D2F692F"/>
    <w:rsid w:val="3D3D2F21"/>
    <w:rsid w:val="3D5662C6"/>
    <w:rsid w:val="3D5D6338"/>
    <w:rsid w:val="3D6212BE"/>
    <w:rsid w:val="3D6D1BDA"/>
    <w:rsid w:val="3D76216A"/>
    <w:rsid w:val="3D894DFF"/>
    <w:rsid w:val="3D8E1C54"/>
    <w:rsid w:val="3DC0027C"/>
    <w:rsid w:val="3DC83AF9"/>
    <w:rsid w:val="3DCF4DD2"/>
    <w:rsid w:val="3DEF42B3"/>
    <w:rsid w:val="3DF16AAF"/>
    <w:rsid w:val="3DF85A6C"/>
    <w:rsid w:val="3E390977"/>
    <w:rsid w:val="3E5372DB"/>
    <w:rsid w:val="3E767652"/>
    <w:rsid w:val="3E7F0034"/>
    <w:rsid w:val="3E83718B"/>
    <w:rsid w:val="3E87708B"/>
    <w:rsid w:val="3E990B60"/>
    <w:rsid w:val="3E9D002E"/>
    <w:rsid w:val="3EA3757C"/>
    <w:rsid w:val="3EA56D9A"/>
    <w:rsid w:val="3EA9494E"/>
    <w:rsid w:val="3EAC4A01"/>
    <w:rsid w:val="3EB000AB"/>
    <w:rsid w:val="3EB54D8B"/>
    <w:rsid w:val="3ED50B70"/>
    <w:rsid w:val="3ED57EC5"/>
    <w:rsid w:val="3EDC4F5B"/>
    <w:rsid w:val="3EE74E9C"/>
    <w:rsid w:val="3EFE346F"/>
    <w:rsid w:val="3F027256"/>
    <w:rsid w:val="3F0744F2"/>
    <w:rsid w:val="3F1673A6"/>
    <w:rsid w:val="3F2166DF"/>
    <w:rsid w:val="3F3D24E6"/>
    <w:rsid w:val="3F47228E"/>
    <w:rsid w:val="3F526153"/>
    <w:rsid w:val="3F674822"/>
    <w:rsid w:val="3F910F95"/>
    <w:rsid w:val="3FF60676"/>
    <w:rsid w:val="40042AB2"/>
    <w:rsid w:val="40134C64"/>
    <w:rsid w:val="40287F5E"/>
    <w:rsid w:val="40303CF4"/>
    <w:rsid w:val="40521EE2"/>
    <w:rsid w:val="40550CA1"/>
    <w:rsid w:val="40804045"/>
    <w:rsid w:val="408A21EA"/>
    <w:rsid w:val="409F4D24"/>
    <w:rsid w:val="40B06F09"/>
    <w:rsid w:val="40C50EEA"/>
    <w:rsid w:val="40C64351"/>
    <w:rsid w:val="40DA27DF"/>
    <w:rsid w:val="40E23BDE"/>
    <w:rsid w:val="40EE3999"/>
    <w:rsid w:val="40F45462"/>
    <w:rsid w:val="413061A6"/>
    <w:rsid w:val="417565BF"/>
    <w:rsid w:val="417A552F"/>
    <w:rsid w:val="417D44BA"/>
    <w:rsid w:val="41A3004A"/>
    <w:rsid w:val="41A65FD1"/>
    <w:rsid w:val="41B615DA"/>
    <w:rsid w:val="41C869EF"/>
    <w:rsid w:val="41CA2CBF"/>
    <w:rsid w:val="41DD1141"/>
    <w:rsid w:val="41E06DC3"/>
    <w:rsid w:val="41EE4504"/>
    <w:rsid w:val="41FA400A"/>
    <w:rsid w:val="420C520F"/>
    <w:rsid w:val="42232D9B"/>
    <w:rsid w:val="42291903"/>
    <w:rsid w:val="4233523F"/>
    <w:rsid w:val="42673B2B"/>
    <w:rsid w:val="4268600C"/>
    <w:rsid w:val="42701367"/>
    <w:rsid w:val="429E2159"/>
    <w:rsid w:val="42B81C65"/>
    <w:rsid w:val="42BC3E0D"/>
    <w:rsid w:val="42BF1C88"/>
    <w:rsid w:val="42CD1847"/>
    <w:rsid w:val="42D618FA"/>
    <w:rsid w:val="42ED116D"/>
    <w:rsid w:val="42FF22A9"/>
    <w:rsid w:val="430E2A01"/>
    <w:rsid w:val="43170B37"/>
    <w:rsid w:val="431F5E80"/>
    <w:rsid w:val="4331630C"/>
    <w:rsid w:val="433B6676"/>
    <w:rsid w:val="433D54C5"/>
    <w:rsid w:val="4355399B"/>
    <w:rsid w:val="4356768D"/>
    <w:rsid w:val="437C1A70"/>
    <w:rsid w:val="438C107D"/>
    <w:rsid w:val="438C3F2B"/>
    <w:rsid w:val="43B662B6"/>
    <w:rsid w:val="43B91AA2"/>
    <w:rsid w:val="43BE1998"/>
    <w:rsid w:val="43BE2158"/>
    <w:rsid w:val="43D5430E"/>
    <w:rsid w:val="43D8215C"/>
    <w:rsid w:val="43DB4424"/>
    <w:rsid w:val="43DD3609"/>
    <w:rsid w:val="43EE7990"/>
    <w:rsid w:val="44007C19"/>
    <w:rsid w:val="4401331A"/>
    <w:rsid w:val="440F13FD"/>
    <w:rsid w:val="441A2C7B"/>
    <w:rsid w:val="44227F29"/>
    <w:rsid w:val="442351B7"/>
    <w:rsid w:val="4424231C"/>
    <w:rsid w:val="44467230"/>
    <w:rsid w:val="44534DA0"/>
    <w:rsid w:val="44570000"/>
    <w:rsid w:val="449C45C2"/>
    <w:rsid w:val="44CD48C0"/>
    <w:rsid w:val="44EC4874"/>
    <w:rsid w:val="44EC515C"/>
    <w:rsid w:val="4510502C"/>
    <w:rsid w:val="451224C5"/>
    <w:rsid w:val="451B3C2A"/>
    <w:rsid w:val="452226DF"/>
    <w:rsid w:val="455B734A"/>
    <w:rsid w:val="455D1726"/>
    <w:rsid w:val="456E7CE2"/>
    <w:rsid w:val="45905140"/>
    <w:rsid w:val="45967FDD"/>
    <w:rsid w:val="45C7561C"/>
    <w:rsid w:val="45CD0B62"/>
    <w:rsid w:val="45D71BA1"/>
    <w:rsid w:val="45D92938"/>
    <w:rsid w:val="45E42D54"/>
    <w:rsid w:val="45FE17F1"/>
    <w:rsid w:val="461A1758"/>
    <w:rsid w:val="464C00DE"/>
    <w:rsid w:val="46697853"/>
    <w:rsid w:val="46967522"/>
    <w:rsid w:val="46A07F82"/>
    <w:rsid w:val="46E17727"/>
    <w:rsid w:val="46EB5C96"/>
    <w:rsid w:val="46F266CF"/>
    <w:rsid w:val="474262AB"/>
    <w:rsid w:val="476078B7"/>
    <w:rsid w:val="476A5670"/>
    <w:rsid w:val="477C7632"/>
    <w:rsid w:val="47901927"/>
    <w:rsid w:val="479248FC"/>
    <w:rsid w:val="479E77EA"/>
    <w:rsid w:val="47CD6A10"/>
    <w:rsid w:val="47EA567A"/>
    <w:rsid w:val="47EE7416"/>
    <w:rsid w:val="4813033C"/>
    <w:rsid w:val="481B113C"/>
    <w:rsid w:val="482B789D"/>
    <w:rsid w:val="483326A3"/>
    <w:rsid w:val="48401522"/>
    <w:rsid w:val="48505DAA"/>
    <w:rsid w:val="48552944"/>
    <w:rsid w:val="48C15E5A"/>
    <w:rsid w:val="48C94D83"/>
    <w:rsid w:val="48FB0D8E"/>
    <w:rsid w:val="48FB243F"/>
    <w:rsid w:val="49035D3F"/>
    <w:rsid w:val="490C3718"/>
    <w:rsid w:val="490E203D"/>
    <w:rsid w:val="491803F3"/>
    <w:rsid w:val="492633B8"/>
    <w:rsid w:val="49405E9F"/>
    <w:rsid w:val="498D4000"/>
    <w:rsid w:val="49B04995"/>
    <w:rsid w:val="49B13340"/>
    <w:rsid w:val="49B2412B"/>
    <w:rsid w:val="49B81F5B"/>
    <w:rsid w:val="49C54DB2"/>
    <w:rsid w:val="49CA0A3C"/>
    <w:rsid w:val="49D64C95"/>
    <w:rsid w:val="4A026A3C"/>
    <w:rsid w:val="4A091F6F"/>
    <w:rsid w:val="4A131555"/>
    <w:rsid w:val="4A2529CC"/>
    <w:rsid w:val="4A324F8D"/>
    <w:rsid w:val="4A447B23"/>
    <w:rsid w:val="4A530FDD"/>
    <w:rsid w:val="4A642BC1"/>
    <w:rsid w:val="4A6B73FA"/>
    <w:rsid w:val="4A6C5490"/>
    <w:rsid w:val="4A830C52"/>
    <w:rsid w:val="4A9F0B8B"/>
    <w:rsid w:val="4ACC646C"/>
    <w:rsid w:val="4ACC7038"/>
    <w:rsid w:val="4AE40572"/>
    <w:rsid w:val="4AE678FB"/>
    <w:rsid w:val="4AE85491"/>
    <w:rsid w:val="4AF81C55"/>
    <w:rsid w:val="4B0246ED"/>
    <w:rsid w:val="4B135F27"/>
    <w:rsid w:val="4B1841A6"/>
    <w:rsid w:val="4B3E1B27"/>
    <w:rsid w:val="4B4C10EA"/>
    <w:rsid w:val="4B6358BB"/>
    <w:rsid w:val="4B6E25A8"/>
    <w:rsid w:val="4B73021C"/>
    <w:rsid w:val="4B7A26B0"/>
    <w:rsid w:val="4B8212E2"/>
    <w:rsid w:val="4B822BCE"/>
    <w:rsid w:val="4BAC24EA"/>
    <w:rsid w:val="4BAC64A4"/>
    <w:rsid w:val="4BCE5814"/>
    <w:rsid w:val="4BD30B32"/>
    <w:rsid w:val="4BDD47EF"/>
    <w:rsid w:val="4BE266E2"/>
    <w:rsid w:val="4BFA2D72"/>
    <w:rsid w:val="4BFC1417"/>
    <w:rsid w:val="4C2C3DD5"/>
    <w:rsid w:val="4C331531"/>
    <w:rsid w:val="4C584F95"/>
    <w:rsid w:val="4C5D7E43"/>
    <w:rsid w:val="4C825889"/>
    <w:rsid w:val="4C877090"/>
    <w:rsid w:val="4C8E39AD"/>
    <w:rsid w:val="4CE62C27"/>
    <w:rsid w:val="4D1E3FAF"/>
    <w:rsid w:val="4D381B6D"/>
    <w:rsid w:val="4D562CCD"/>
    <w:rsid w:val="4D8861A9"/>
    <w:rsid w:val="4D8C5800"/>
    <w:rsid w:val="4D8E7C4F"/>
    <w:rsid w:val="4D9123A1"/>
    <w:rsid w:val="4DA357FE"/>
    <w:rsid w:val="4DBB3D83"/>
    <w:rsid w:val="4DBD7666"/>
    <w:rsid w:val="4DCA4B34"/>
    <w:rsid w:val="4DD52C24"/>
    <w:rsid w:val="4E3C5247"/>
    <w:rsid w:val="4E440D93"/>
    <w:rsid w:val="4E575A7C"/>
    <w:rsid w:val="4E630C74"/>
    <w:rsid w:val="4E6736F1"/>
    <w:rsid w:val="4E854FD5"/>
    <w:rsid w:val="4E924B11"/>
    <w:rsid w:val="4EA41756"/>
    <w:rsid w:val="4EC655DF"/>
    <w:rsid w:val="4EE72789"/>
    <w:rsid w:val="4EF634BD"/>
    <w:rsid w:val="4EFA0E8E"/>
    <w:rsid w:val="4F175E26"/>
    <w:rsid w:val="4F1D5DF6"/>
    <w:rsid w:val="4F3B75E0"/>
    <w:rsid w:val="4F4B0D45"/>
    <w:rsid w:val="4F6820BF"/>
    <w:rsid w:val="4F6E22DE"/>
    <w:rsid w:val="4F716938"/>
    <w:rsid w:val="4F91228A"/>
    <w:rsid w:val="4F9F182A"/>
    <w:rsid w:val="4FA01D55"/>
    <w:rsid w:val="4FB53273"/>
    <w:rsid w:val="4FCE4435"/>
    <w:rsid w:val="4FDA3BA5"/>
    <w:rsid w:val="4FF04658"/>
    <w:rsid w:val="4FF9699F"/>
    <w:rsid w:val="501D0410"/>
    <w:rsid w:val="50251456"/>
    <w:rsid w:val="50254951"/>
    <w:rsid w:val="5025701E"/>
    <w:rsid w:val="502D713D"/>
    <w:rsid w:val="502E40A3"/>
    <w:rsid w:val="504A6F66"/>
    <w:rsid w:val="505C295E"/>
    <w:rsid w:val="508269B6"/>
    <w:rsid w:val="50831B70"/>
    <w:rsid w:val="508441FE"/>
    <w:rsid w:val="50896D2B"/>
    <w:rsid w:val="508F7C9F"/>
    <w:rsid w:val="509C4218"/>
    <w:rsid w:val="50D62078"/>
    <w:rsid w:val="50E03337"/>
    <w:rsid w:val="510955AD"/>
    <w:rsid w:val="510C7A33"/>
    <w:rsid w:val="51334B08"/>
    <w:rsid w:val="513B0F3F"/>
    <w:rsid w:val="516052DB"/>
    <w:rsid w:val="51712F1C"/>
    <w:rsid w:val="518455FD"/>
    <w:rsid w:val="51927D0B"/>
    <w:rsid w:val="51944AB2"/>
    <w:rsid w:val="519F1101"/>
    <w:rsid w:val="51A40AF3"/>
    <w:rsid w:val="51AD3955"/>
    <w:rsid w:val="51B7696F"/>
    <w:rsid w:val="51C70ADD"/>
    <w:rsid w:val="51D72E6E"/>
    <w:rsid w:val="51D90F8D"/>
    <w:rsid w:val="51FC4939"/>
    <w:rsid w:val="5211168C"/>
    <w:rsid w:val="522E5886"/>
    <w:rsid w:val="52335AD5"/>
    <w:rsid w:val="52471853"/>
    <w:rsid w:val="524D4EE3"/>
    <w:rsid w:val="5255744B"/>
    <w:rsid w:val="52573997"/>
    <w:rsid w:val="526F27EE"/>
    <w:rsid w:val="527C5F97"/>
    <w:rsid w:val="528E7BFB"/>
    <w:rsid w:val="529B3E1E"/>
    <w:rsid w:val="52B506D0"/>
    <w:rsid w:val="52B66CB5"/>
    <w:rsid w:val="52C35D49"/>
    <w:rsid w:val="52C430C6"/>
    <w:rsid w:val="52D76307"/>
    <w:rsid w:val="52E62F28"/>
    <w:rsid w:val="52EB166D"/>
    <w:rsid w:val="530238AC"/>
    <w:rsid w:val="53150F4D"/>
    <w:rsid w:val="531906BF"/>
    <w:rsid w:val="531D1528"/>
    <w:rsid w:val="532B156A"/>
    <w:rsid w:val="53303269"/>
    <w:rsid w:val="534148B9"/>
    <w:rsid w:val="534E1261"/>
    <w:rsid w:val="536A4E4B"/>
    <w:rsid w:val="53941446"/>
    <w:rsid w:val="53A127F2"/>
    <w:rsid w:val="53AD3DFA"/>
    <w:rsid w:val="53F342D3"/>
    <w:rsid w:val="541B364E"/>
    <w:rsid w:val="542D5426"/>
    <w:rsid w:val="54464986"/>
    <w:rsid w:val="54545099"/>
    <w:rsid w:val="545600A5"/>
    <w:rsid w:val="54576AAE"/>
    <w:rsid w:val="546E4CCF"/>
    <w:rsid w:val="547337EC"/>
    <w:rsid w:val="547D78D7"/>
    <w:rsid w:val="547F593D"/>
    <w:rsid w:val="54916723"/>
    <w:rsid w:val="54990B02"/>
    <w:rsid w:val="54DD08F1"/>
    <w:rsid w:val="54E0456F"/>
    <w:rsid w:val="54E45FBC"/>
    <w:rsid w:val="54F220F7"/>
    <w:rsid w:val="54F30BFA"/>
    <w:rsid w:val="54F31B02"/>
    <w:rsid w:val="550564BA"/>
    <w:rsid w:val="551854D6"/>
    <w:rsid w:val="552E6FB7"/>
    <w:rsid w:val="554A6AF0"/>
    <w:rsid w:val="55521753"/>
    <w:rsid w:val="555328FA"/>
    <w:rsid w:val="556D0D69"/>
    <w:rsid w:val="557009AC"/>
    <w:rsid w:val="557574FD"/>
    <w:rsid w:val="55764ED7"/>
    <w:rsid w:val="55A529A7"/>
    <w:rsid w:val="55CB341A"/>
    <w:rsid w:val="55F627A9"/>
    <w:rsid w:val="560F306F"/>
    <w:rsid w:val="563E4B1C"/>
    <w:rsid w:val="564A36BA"/>
    <w:rsid w:val="565646AD"/>
    <w:rsid w:val="565841E8"/>
    <w:rsid w:val="565E5800"/>
    <w:rsid w:val="56794BF1"/>
    <w:rsid w:val="5682108E"/>
    <w:rsid w:val="56881CD5"/>
    <w:rsid w:val="56B37A34"/>
    <w:rsid w:val="56BA6217"/>
    <w:rsid w:val="56BF1FFF"/>
    <w:rsid w:val="56C14113"/>
    <w:rsid w:val="56FE2228"/>
    <w:rsid w:val="57051986"/>
    <w:rsid w:val="570D7A70"/>
    <w:rsid w:val="570F5168"/>
    <w:rsid w:val="571333E6"/>
    <w:rsid w:val="57134278"/>
    <w:rsid w:val="57164D31"/>
    <w:rsid w:val="571E66B0"/>
    <w:rsid w:val="571F499C"/>
    <w:rsid w:val="5720174B"/>
    <w:rsid w:val="57210C5C"/>
    <w:rsid w:val="573130F1"/>
    <w:rsid w:val="573D2EFC"/>
    <w:rsid w:val="5753399F"/>
    <w:rsid w:val="575A1149"/>
    <w:rsid w:val="57686E83"/>
    <w:rsid w:val="57740E90"/>
    <w:rsid w:val="578505C0"/>
    <w:rsid w:val="57875206"/>
    <w:rsid w:val="578D4398"/>
    <w:rsid w:val="578F47F3"/>
    <w:rsid w:val="578F7893"/>
    <w:rsid w:val="5798562B"/>
    <w:rsid w:val="57A576E4"/>
    <w:rsid w:val="57AC54AC"/>
    <w:rsid w:val="57B52C20"/>
    <w:rsid w:val="57B7549A"/>
    <w:rsid w:val="57DE7F16"/>
    <w:rsid w:val="57FB7159"/>
    <w:rsid w:val="580200CE"/>
    <w:rsid w:val="58352902"/>
    <w:rsid w:val="58563EA1"/>
    <w:rsid w:val="58860165"/>
    <w:rsid w:val="58B42EB0"/>
    <w:rsid w:val="58CC2FC5"/>
    <w:rsid w:val="58E33B3C"/>
    <w:rsid w:val="58E437B7"/>
    <w:rsid w:val="58EB3143"/>
    <w:rsid w:val="594E7E49"/>
    <w:rsid w:val="595A21B7"/>
    <w:rsid w:val="5979099D"/>
    <w:rsid w:val="59805F18"/>
    <w:rsid w:val="59862F85"/>
    <w:rsid w:val="59960608"/>
    <w:rsid w:val="59B26C95"/>
    <w:rsid w:val="59BC13BB"/>
    <w:rsid w:val="59C62B2C"/>
    <w:rsid w:val="59C97320"/>
    <w:rsid w:val="59CF7CDB"/>
    <w:rsid w:val="59F67BF7"/>
    <w:rsid w:val="59FE2AF6"/>
    <w:rsid w:val="5A117494"/>
    <w:rsid w:val="5A145791"/>
    <w:rsid w:val="5A17158F"/>
    <w:rsid w:val="5A216FEC"/>
    <w:rsid w:val="5A250FA9"/>
    <w:rsid w:val="5A302C4C"/>
    <w:rsid w:val="5A517A2A"/>
    <w:rsid w:val="5A562E1B"/>
    <w:rsid w:val="5A9525DF"/>
    <w:rsid w:val="5AB96200"/>
    <w:rsid w:val="5AD36D1E"/>
    <w:rsid w:val="5AED09AD"/>
    <w:rsid w:val="5AED671F"/>
    <w:rsid w:val="5AFE2ECA"/>
    <w:rsid w:val="5B4076CA"/>
    <w:rsid w:val="5B53213F"/>
    <w:rsid w:val="5B585F08"/>
    <w:rsid w:val="5B6030D7"/>
    <w:rsid w:val="5B7F544E"/>
    <w:rsid w:val="5B94088A"/>
    <w:rsid w:val="5BB01C4A"/>
    <w:rsid w:val="5BB354F5"/>
    <w:rsid w:val="5BB40697"/>
    <w:rsid w:val="5BB46D22"/>
    <w:rsid w:val="5BB667E6"/>
    <w:rsid w:val="5BF5093A"/>
    <w:rsid w:val="5C01206D"/>
    <w:rsid w:val="5C353014"/>
    <w:rsid w:val="5C357BAA"/>
    <w:rsid w:val="5C381279"/>
    <w:rsid w:val="5C4635C1"/>
    <w:rsid w:val="5C57108B"/>
    <w:rsid w:val="5C71120A"/>
    <w:rsid w:val="5CA432C6"/>
    <w:rsid w:val="5CB2002A"/>
    <w:rsid w:val="5CE06953"/>
    <w:rsid w:val="5CEA0854"/>
    <w:rsid w:val="5D0D525F"/>
    <w:rsid w:val="5D297DDC"/>
    <w:rsid w:val="5D3C3F51"/>
    <w:rsid w:val="5D4D51B0"/>
    <w:rsid w:val="5D8454D6"/>
    <w:rsid w:val="5D9B03FF"/>
    <w:rsid w:val="5D9B7078"/>
    <w:rsid w:val="5DA53CC4"/>
    <w:rsid w:val="5DAB6379"/>
    <w:rsid w:val="5DC55B1B"/>
    <w:rsid w:val="5DD377C4"/>
    <w:rsid w:val="5DDB51AB"/>
    <w:rsid w:val="5DDB7392"/>
    <w:rsid w:val="5DF565AF"/>
    <w:rsid w:val="5E042C5F"/>
    <w:rsid w:val="5E083EF6"/>
    <w:rsid w:val="5E0E53BF"/>
    <w:rsid w:val="5E135E2D"/>
    <w:rsid w:val="5E146B88"/>
    <w:rsid w:val="5E352724"/>
    <w:rsid w:val="5E3B50AE"/>
    <w:rsid w:val="5E3E3CB2"/>
    <w:rsid w:val="5E5914AC"/>
    <w:rsid w:val="5E6625C5"/>
    <w:rsid w:val="5E6D3AA2"/>
    <w:rsid w:val="5E844306"/>
    <w:rsid w:val="5E8A7B6D"/>
    <w:rsid w:val="5EA85E0C"/>
    <w:rsid w:val="5EB32D4B"/>
    <w:rsid w:val="5EBD620B"/>
    <w:rsid w:val="5ECB5CC7"/>
    <w:rsid w:val="5ED103D8"/>
    <w:rsid w:val="5F063BA4"/>
    <w:rsid w:val="5F0B3D71"/>
    <w:rsid w:val="5F1C2AB9"/>
    <w:rsid w:val="5F223CDA"/>
    <w:rsid w:val="5F2A6A6C"/>
    <w:rsid w:val="5F2D7844"/>
    <w:rsid w:val="5F5079D6"/>
    <w:rsid w:val="5F512731"/>
    <w:rsid w:val="5F5F28AF"/>
    <w:rsid w:val="5F6160DD"/>
    <w:rsid w:val="5F622508"/>
    <w:rsid w:val="5F68536B"/>
    <w:rsid w:val="5F6F427E"/>
    <w:rsid w:val="5F727C93"/>
    <w:rsid w:val="5F7B10B3"/>
    <w:rsid w:val="5F844488"/>
    <w:rsid w:val="5F956155"/>
    <w:rsid w:val="5FB73AC9"/>
    <w:rsid w:val="5FB95678"/>
    <w:rsid w:val="5FB97371"/>
    <w:rsid w:val="5FBB5308"/>
    <w:rsid w:val="5FC960DC"/>
    <w:rsid w:val="5FE622CE"/>
    <w:rsid w:val="5FE87C83"/>
    <w:rsid w:val="5FEF05C9"/>
    <w:rsid w:val="5FF698F9"/>
    <w:rsid w:val="5FFB3198"/>
    <w:rsid w:val="60263F60"/>
    <w:rsid w:val="60284E59"/>
    <w:rsid w:val="603B5004"/>
    <w:rsid w:val="604E2E9C"/>
    <w:rsid w:val="605F1221"/>
    <w:rsid w:val="606E3A4B"/>
    <w:rsid w:val="60797C35"/>
    <w:rsid w:val="607A0362"/>
    <w:rsid w:val="608B2BE6"/>
    <w:rsid w:val="60933BEF"/>
    <w:rsid w:val="60A6723D"/>
    <w:rsid w:val="60B33701"/>
    <w:rsid w:val="60B8340A"/>
    <w:rsid w:val="60CD35B5"/>
    <w:rsid w:val="60E02563"/>
    <w:rsid w:val="60E37528"/>
    <w:rsid w:val="60F160D1"/>
    <w:rsid w:val="60F97CE4"/>
    <w:rsid w:val="610868FE"/>
    <w:rsid w:val="61163BF6"/>
    <w:rsid w:val="61266D78"/>
    <w:rsid w:val="61367D1C"/>
    <w:rsid w:val="61393AC6"/>
    <w:rsid w:val="613F49B9"/>
    <w:rsid w:val="6148658B"/>
    <w:rsid w:val="61500A36"/>
    <w:rsid w:val="61580F09"/>
    <w:rsid w:val="6178457D"/>
    <w:rsid w:val="61793455"/>
    <w:rsid w:val="61846DBB"/>
    <w:rsid w:val="61A15BC9"/>
    <w:rsid w:val="61AF48B9"/>
    <w:rsid w:val="61B34DE9"/>
    <w:rsid w:val="61E80770"/>
    <w:rsid w:val="62077697"/>
    <w:rsid w:val="62145C4F"/>
    <w:rsid w:val="62291FA7"/>
    <w:rsid w:val="622D3551"/>
    <w:rsid w:val="622D5B2B"/>
    <w:rsid w:val="62370ACA"/>
    <w:rsid w:val="62AB2C87"/>
    <w:rsid w:val="62B45DE7"/>
    <w:rsid w:val="62B57EDF"/>
    <w:rsid w:val="62B934AD"/>
    <w:rsid w:val="62B9418E"/>
    <w:rsid w:val="62BA63B5"/>
    <w:rsid w:val="62C52A7B"/>
    <w:rsid w:val="62D97D5A"/>
    <w:rsid w:val="62F373E8"/>
    <w:rsid w:val="62FE5B87"/>
    <w:rsid w:val="63167AD4"/>
    <w:rsid w:val="631874B0"/>
    <w:rsid w:val="63195C9B"/>
    <w:rsid w:val="63417CA4"/>
    <w:rsid w:val="63677366"/>
    <w:rsid w:val="636F1B85"/>
    <w:rsid w:val="63780013"/>
    <w:rsid w:val="638D54FB"/>
    <w:rsid w:val="63963882"/>
    <w:rsid w:val="6396661C"/>
    <w:rsid w:val="63CB68AD"/>
    <w:rsid w:val="63CC1557"/>
    <w:rsid w:val="63D244DA"/>
    <w:rsid w:val="63EB78DF"/>
    <w:rsid w:val="64167AED"/>
    <w:rsid w:val="642F6256"/>
    <w:rsid w:val="644F0DF4"/>
    <w:rsid w:val="64533304"/>
    <w:rsid w:val="64542FC1"/>
    <w:rsid w:val="64680F7F"/>
    <w:rsid w:val="646C61D5"/>
    <w:rsid w:val="64787772"/>
    <w:rsid w:val="647C636B"/>
    <w:rsid w:val="648651CA"/>
    <w:rsid w:val="648C17DF"/>
    <w:rsid w:val="64A41AC5"/>
    <w:rsid w:val="64B302F2"/>
    <w:rsid w:val="64CB1818"/>
    <w:rsid w:val="64F52AAD"/>
    <w:rsid w:val="650131AE"/>
    <w:rsid w:val="650C7DC3"/>
    <w:rsid w:val="652E0629"/>
    <w:rsid w:val="65347ABD"/>
    <w:rsid w:val="65375777"/>
    <w:rsid w:val="653D6A4B"/>
    <w:rsid w:val="655D4114"/>
    <w:rsid w:val="656732C7"/>
    <w:rsid w:val="65686BAC"/>
    <w:rsid w:val="657A1DAC"/>
    <w:rsid w:val="65815307"/>
    <w:rsid w:val="658612BA"/>
    <w:rsid w:val="65A36157"/>
    <w:rsid w:val="65BD6277"/>
    <w:rsid w:val="65C25653"/>
    <w:rsid w:val="65C47064"/>
    <w:rsid w:val="65D12F6C"/>
    <w:rsid w:val="65EC0569"/>
    <w:rsid w:val="65F328B6"/>
    <w:rsid w:val="660F4DC4"/>
    <w:rsid w:val="662C0A66"/>
    <w:rsid w:val="66560F95"/>
    <w:rsid w:val="66792743"/>
    <w:rsid w:val="66906A2B"/>
    <w:rsid w:val="66983ECE"/>
    <w:rsid w:val="66C21344"/>
    <w:rsid w:val="66C416CD"/>
    <w:rsid w:val="66D0021B"/>
    <w:rsid w:val="66FD5EF4"/>
    <w:rsid w:val="67087D17"/>
    <w:rsid w:val="670B6622"/>
    <w:rsid w:val="67167C35"/>
    <w:rsid w:val="67505DE5"/>
    <w:rsid w:val="67557BD2"/>
    <w:rsid w:val="676079E9"/>
    <w:rsid w:val="679036E5"/>
    <w:rsid w:val="679333DC"/>
    <w:rsid w:val="67970162"/>
    <w:rsid w:val="67A54264"/>
    <w:rsid w:val="67A5795C"/>
    <w:rsid w:val="67C01F08"/>
    <w:rsid w:val="67E30D8A"/>
    <w:rsid w:val="67E8122A"/>
    <w:rsid w:val="67EF2D74"/>
    <w:rsid w:val="680553E8"/>
    <w:rsid w:val="68061CDD"/>
    <w:rsid w:val="681B135B"/>
    <w:rsid w:val="68223D0E"/>
    <w:rsid w:val="682B0427"/>
    <w:rsid w:val="684365FD"/>
    <w:rsid w:val="68456B17"/>
    <w:rsid w:val="68482DD8"/>
    <w:rsid w:val="68573F95"/>
    <w:rsid w:val="6866035A"/>
    <w:rsid w:val="68710CCD"/>
    <w:rsid w:val="68934284"/>
    <w:rsid w:val="689B0003"/>
    <w:rsid w:val="68A74994"/>
    <w:rsid w:val="68B676FE"/>
    <w:rsid w:val="68C05A67"/>
    <w:rsid w:val="68E45EA4"/>
    <w:rsid w:val="68FC4349"/>
    <w:rsid w:val="690A2631"/>
    <w:rsid w:val="69103519"/>
    <w:rsid w:val="69217FE1"/>
    <w:rsid w:val="695A59F8"/>
    <w:rsid w:val="695F5703"/>
    <w:rsid w:val="696F296E"/>
    <w:rsid w:val="69A06804"/>
    <w:rsid w:val="69B1277C"/>
    <w:rsid w:val="6A0601BD"/>
    <w:rsid w:val="6A26662A"/>
    <w:rsid w:val="6A35479E"/>
    <w:rsid w:val="6A5B4CD0"/>
    <w:rsid w:val="6A631377"/>
    <w:rsid w:val="6A636F4C"/>
    <w:rsid w:val="6A705B5D"/>
    <w:rsid w:val="6AA86FBE"/>
    <w:rsid w:val="6AB55C3E"/>
    <w:rsid w:val="6AC13732"/>
    <w:rsid w:val="6ACF14C6"/>
    <w:rsid w:val="6ADBEF1C"/>
    <w:rsid w:val="6AE06FE9"/>
    <w:rsid w:val="6B1E1366"/>
    <w:rsid w:val="6B2778EE"/>
    <w:rsid w:val="6B324E53"/>
    <w:rsid w:val="6B3D08EE"/>
    <w:rsid w:val="6B533B1D"/>
    <w:rsid w:val="6B676B1A"/>
    <w:rsid w:val="6B936A69"/>
    <w:rsid w:val="6B940F2D"/>
    <w:rsid w:val="6B9A3539"/>
    <w:rsid w:val="6BA74B34"/>
    <w:rsid w:val="6BB53778"/>
    <w:rsid w:val="6BBD6709"/>
    <w:rsid w:val="6BD50F8B"/>
    <w:rsid w:val="6BE57036"/>
    <w:rsid w:val="6BEF5204"/>
    <w:rsid w:val="6C051BED"/>
    <w:rsid w:val="6C0D5D6D"/>
    <w:rsid w:val="6C0F27F3"/>
    <w:rsid w:val="6C0F331F"/>
    <w:rsid w:val="6C157227"/>
    <w:rsid w:val="6C163BDC"/>
    <w:rsid w:val="6C233BAC"/>
    <w:rsid w:val="6C371AF3"/>
    <w:rsid w:val="6C5B31C1"/>
    <w:rsid w:val="6C61117A"/>
    <w:rsid w:val="6C69041E"/>
    <w:rsid w:val="6C7F7731"/>
    <w:rsid w:val="6CAC0C8D"/>
    <w:rsid w:val="6CC423E3"/>
    <w:rsid w:val="6CC756C0"/>
    <w:rsid w:val="6CD67D59"/>
    <w:rsid w:val="6CDF49DE"/>
    <w:rsid w:val="6CE9452C"/>
    <w:rsid w:val="6CED539C"/>
    <w:rsid w:val="6D032FA7"/>
    <w:rsid w:val="6D0F4365"/>
    <w:rsid w:val="6D373B64"/>
    <w:rsid w:val="6D4A151C"/>
    <w:rsid w:val="6D4E2FE6"/>
    <w:rsid w:val="6D710461"/>
    <w:rsid w:val="6D7B2A46"/>
    <w:rsid w:val="6D851A0F"/>
    <w:rsid w:val="6D8C732E"/>
    <w:rsid w:val="6D992F84"/>
    <w:rsid w:val="6DA6517A"/>
    <w:rsid w:val="6DB00FD5"/>
    <w:rsid w:val="6DB0255A"/>
    <w:rsid w:val="6DB32580"/>
    <w:rsid w:val="6DB46CF9"/>
    <w:rsid w:val="6DBE2365"/>
    <w:rsid w:val="6DEE4D5E"/>
    <w:rsid w:val="6DFA4221"/>
    <w:rsid w:val="6DFF26EF"/>
    <w:rsid w:val="6E0D181D"/>
    <w:rsid w:val="6E22131B"/>
    <w:rsid w:val="6E3965C7"/>
    <w:rsid w:val="6E702BFB"/>
    <w:rsid w:val="6EA81C7D"/>
    <w:rsid w:val="6ECC0D85"/>
    <w:rsid w:val="6ED44146"/>
    <w:rsid w:val="6EDD4BA0"/>
    <w:rsid w:val="6EF2114C"/>
    <w:rsid w:val="6F100184"/>
    <w:rsid w:val="6F215077"/>
    <w:rsid w:val="6F260DE5"/>
    <w:rsid w:val="6F382EE5"/>
    <w:rsid w:val="6F392122"/>
    <w:rsid w:val="6F443B1A"/>
    <w:rsid w:val="6F4C4159"/>
    <w:rsid w:val="6F523C7A"/>
    <w:rsid w:val="6F5C19C6"/>
    <w:rsid w:val="6F810383"/>
    <w:rsid w:val="6F8B0D52"/>
    <w:rsid w:val="6FB12DA3"/>
    <w:rsid w:val="6FB244E6"/>
    <w:rsid w:val="6FB82C4C"/>
    <w:rsid w:val="6FE46998"/>
    <w:rsid w:val="6FEC685B"/>
    <w:rsid w:val="6FFD1BB8"/>
    <w:rsid w:val="6FFE7906"/>
    <w:rsid w:val="700A06B6"/>
    <w:rsid w:val="700E02D3"/>
    <w:rsid w:val="7026165C"/>
    <w:rsid w:val="702D7F67"/>
    <w:rsid w:val="70403781"/>
    <w:rsid w:val="704B31A7"/>
    <w:rsid w:val="70583D06"/>
    <w:rsid w:val="705B3B4F"/>
    <w:rsid w:val="70865951"/>
    <w:rsid w:val="708A2387"/>
    <w:rsid w:val="70A137A2"/>
    <w:rsid w:val="70BF77AE"/>
    <w:rsid w:val="70C60E4B"/>
    <w:rsid w:val="70D62C99"/>
    <w:rsid w:val="70DE449E"/>
    <w:rsid w:val="70E833C8"/>
    <w:rsid w:val="70FA3F49"/>
    <w:rsid w:val="71072879"/>
    <w:rsid w:val="711D7830"/>
    <w:rsid w:val="712F65FF"/>
    <w:rsid w:val="7137599E"/>
    <w:rsid w:val="717859D5"/>
    <w:rsid w:val="71C210C4"/>
    <w:rsid w:val="71CF0CEE"/>
    <w:rsid w:val="71EF5C82"/>
    <w:rsid w:val="71FF66E2"/>
    <w:rsid w:val="720779D0"/>
    <w:rsid w:val="72114467"/>
    <w:rsid w:val="72164924"/>
    <w:rsid w:val="722D35CB"/>
    <w:rsid w:val="723C479E"/>
    <w:rsid w:val="723F26D5"/>
    <w:rsid w:val="72411016"/>
    <w:rsid w:val="72414EE4"/>
    <w:rsid w:val="72595DDE"/>
    <w:rsid w:val="72626B3C"/>
    <w:rsid w:val="72891087"/>
    <w:rsid w:val="729269F1"/>
    <w:rsid w:val="72A511D0"/>
    <w:rsid w:val="72A8044C"/>
    <w:rsid w:val="72AF12CD"/>
    <w:rsid w:val="72B4227F"/>
    <w:rsid w:val="72CE62A5"/>
    <w:rsid w:val="72D23F5A"/>
    <w:rsid w:val="72D32B85"/>
    <w:rsid w:val="72D82785"/>
    <w:rsid w:val="72DD60ED"/>
    <w:rsid w:val="72E4478C"/>
    <w:rsid w:val="72E546D8"/>
    <w:rsid w:val="72EED508"/>
    <w:rsid w:val="72F7340C"/>
    <w:rsid w:val="730A243C"/>
    <w:rsid w:val="732B498F"/>
    <w:rsid w:val="734E7E1F"/>
    <w:rsid w:val="73820226"/>
    <w:rsid w:val="73827897"/>
    <w:rsid w:val="73844213"/>
    <w:rsid w:val="73A71493"/>
    <w:rsid w:val="73AA12B3"/>
    <w:rsid w:val="73B516BC"/>
    <w:rsid w:val="73D120F2"/>
    <w:rsid w:val="73DF6E44"/>
    <w:rsid w:val="73E22423"/>
    <w:rsid w:val="73F32D1A"/>
    <w:rsid w:val="73FD298F"/>
    <w:rsid w:val="73FF229C"/>
    <w:rsid w:val="74062323"/>
    <w:rsid w:val="740C108B"/>
    <w:rsid w:val="740F3316"/>
    <w:rsid w:val="74242E36"/>
    <w:rsid w:val="74423CC0"/>
    <w:rsid w:val="74537B3D"/>
    <w:rsid w:val="745448C0"/>
    <w:rsid w:val="74581290"/>
    <w:rsid w:val="745B7625"/>
    <w:rsid w:val="74750A7C"/>
    <w:rsid w:val="74772BC9"/>
    <w:rsid w:val="74800800"/>
    <w:rsid w:val="7488402A"/>
    <w:rsid w:val="748A0F5F"/>
    <w:rsid w:val="748B7EE1"/>
    <w:rsid w:val="748C292E"/>
    <w:rsid w:val="748E5843"/>
    <w:rsid w:val="7496728C"/>
    <w:rsid w:val="74AC6F00"/>
    <w:rsid w:val="74B850C4"/>
    <w:rsid w:val="74D06FE2"/>
    <w:rsid w:val="74D75F5B"/>
    <w:rsid w:val="74D94A2C"/>
    <w:rsid w:val="74E02518"/>
    <w:rsid w:val="75071FD3"/>
    <w:rsid w:val="750B5143"/>
    <w:rsid w:val="751A1666"/>
    <w:rsid w:val="75233F7B"/>
    <w:rsid w:val="75351F89"/>
    <w:rsid w:val="75365A11"/>
    <w:rsid w:val="753C4C37"/>
    <w:rsid w:val="75412A3F"/>
    <w:rsid w:val="7543429F"/>
    <w:rsid w:val="754817ED"/>
    <w:rsid w:val="756123BA"/>
    <w:rsid w:val="75653581"/>
    <w:rsid w:val="759931E4"/>
    <w:rsid w:val="75AB69FA"/>
    <w:rsid w:val="75D01D2A"/>
    <w:rsid w:val="75D64054"/>
    <w:rsid w:val="75DD5E02"/>
    <w:rsid w:val="75E91ED8"/>
    <w:rsid w:val="75F27776"/>
    <w:rsid w:val="76115763"/>
    <w:rsid w:val="76176506"/>
    <w:rsid w:val="761D4E3E"/>
    <w:rsid w:val="762B78B0"/>
    <w:rsid w:val="76331EC4"/>
    <w:rsid w:val="763D3D0D"/>
    <w:rsid w:val="76420C5B"/>
    <w:rsid w:val="76450B80"/>
    <w:rsid w:val="767376F7"/>
    <w:rsid w:val="767454E4"/>
    <w:rsid w:val="76787AE2"/>
    <w:rsid w:val="76790EF7"/>
    <w:rsid w:val="76A06CC2"/>
    <w:rsid w:val="76AA2F01"/>
    <w:rsid w:val="76AC081C"/>
    <w:rsid w:val="76C822FE"/>
    <w:rsid w:val="76D53C48"/>
    <w:rsid w:val="76D8322B"/>
    <w:rsid w:val="76F24AD9"/>
    <w:rsid w:val="76F959AA"/>
    <w:rsid w:val="77135680"/>
    <w:rsid w:val="77157B8F"/>
    <w:rsid w:val="772A21FD"/>
    <w:rsid w:val="774922F3"/>
    <w:rsid w:val="77531326"/>
    <w:rsid w:val="77586E99"/>
    <w:rsid w:val="775D1789"/>
    <w:rsid w:val="777A179E"/>
    <w:rsid w:val="777A7254"/>
    <w:rsid w:val="778E388F"/>
    <w:rsid w:val="77C32F7F"/>
    <w:rsid w:val="77DBF353"/>
    <w:rsid w:val="77F105EA"/>
    <w:rsid w:val="77FE2BA5"/>
    <w:rsid w:val="77FE7A2A"/>
    <w:rsid w:val="782C613A"/>
    <w:rsid w:val="783B548D"/>
    <w:rsid w:val="783C3DCF"/>
    <w:rsid w:val="784D39CB"/>
    <w:rsid w:val="78622C6B"/>
    <w:rsid w:val="78695C83"/>
    <w:rsid w:val="78700D7F"/>
    <w:rsid w:val="787212A5"/>
    <w:rsid w:val="787B0694"/>
    <w:rsid w:val="78B95CB4"/>
    <w:rsid w:val="78BC6362"/>
    <w:rsid w:val="78C043E3"/>
    <w:rsid w:val="78C877FC"/>
    <w:rsid w:val="78D865BA"/>
    <w:rsid w:val="78F9182B"/>
    <w:rsid w:val="78FC159F"/>
    <w:rsid w:val="78FD6930"/>
    <w:rsid w:val="78FF5938"/>
    <w:rsid w:val="79057847"/>
    <w:rsid w:val="79336F87"/>
    <w:rsid w:val="79452E83"/>
    <w:rsid w:val="79506CAD"/>
    <w:rsid w:val="795D0C21"/>
    <w:rsid w:val="796D50C4"/>
    <w:rsid w:val="796E78EE"/>
    <w:rsid w:val="797B08B3"/>
    <w:rsid w:val="798073CE"/>
    <w:rsid w:val="798F162D"/>
    <w:rsid w:val="79902EA6"/>
    <w:rsid w:val="79B84123"/>
    <w:rsid w:val="79EA52AB"/>
    <w:rsid w:val="79EC643A"/>
    <w:rsid w:val="79F37FC0"/>
    <w:rsid w:val="7A1E783B"/>
    <w:rsid w:val="7A2D4BD9"/>
    <w:rsid w:val="7A7C162C"/>
    <w:rsid w:val="7A7F345A"/>
    <w:rsid w:val="7A803BCF"/>
    <w:rsid w:val="7A891ABC"/>
    <w:rsid w:val="7AA22297"/>
    <w:rsid w:val="7AA60DE9"/>
    <w:rsid w:val="7AB907A3"/>
    <w:rsid w:val="7AFA7424"/>
    <w:rsid w:val="7B024AFB"/>
    <w:rsid w:val="7B065117"/>
    <w:rsid w:val="7B1541CA"/>
    <w:rsid w:val="7B4B566A"/>
    <w:rsid w:val="7B4F3869"/>
    <w:rsid w:val="7B5679A7"/>
    <w:rsid w:val="7B733F7F"/>
    <w:rsid w:val="7B7B5033"/>
    <w:rsid w:val="7B96655E"/>
    <w:rsid w:val="7B9C597B"/>
    <w:rsid w:val="7BB22349"/>
    <w:rsid w:val="7BB440F9"/>
    <w:rsid w:val="7BCE4B9F"/>
    <w:rsid w:val="7BD11B9A"/>
    <w:rsid w:val="7BE35461"/>
    <w:rsid w:val="7BEA4345"/>
    <w:rsid w:val="7C173CBC"/>
    <w:rsid w:val="7C2B2BA7"/>
    <w:rsid w:val="7C312BE4"/>
    <w:rsid w:val="7C3332C6"/>
    <w:rsid w:val="7C5605D9"/>
    <w:rsid w:val="7C5C7EC5"/>
    <w:rsid w:val="7C6355E2"/>
    <w:rsid w:val="7C6D6595"/>
    <w:rsid w:val="7C7B1390"/>
    <w:rsid w:val="7CA55C1D"/>
    <w:rsid w:val="7CA819E1"/>
    <w:rsid w:val="7CAA2D1D"/>
    <w:rsid w:val="7CAA78DF"/>
    <w:rsid w:val="7CB22F1E"/>
    <w:rsid w:val="7CB3044C"/>
    <w:rsid w:val="7CD54A24"/>
    <w:rsid w:val="7CE3155C"/>
    <w:rsid w:val="7CEA0A34"/>
    <w:rsid w:val="7D0140B1"/>
    <w:rsid w:val="7D2C35EE"/>
    <w:rsid w:val="7D663433"/>
    <w:rsid w:val="7D8156CC"/>
    <w:rsid w:val="7D8A77EC"/>
    <w:rsid w:val="7D9361BC"/>
    <w:rsid w:val="7D943A11"/>
    <w:rsid w:val="7D9A3D25"/>
    <w:rsid w:val="7DA7430D"/>
    <w:rsid w:val="7DB92279"/>
    <w:rsid w:val="7DCD6389"/>
    <w:rsid w:val="7DE46754"/>
    <w:rsid w:val="7DE7749F"/>
    <w:rsid w:val="7DEF058A"/>
    <w:rsid w:val="7DF71785"/>
    <w:rsid w:val="7DFD7076"/>
    <w:rsid w:val="7E013E00"/>
    <w:rsid w:val="7E024095"/>
    <w:rsid w:val="7E1929D0"/>
    <w:rsid w:val="7E1C257D"/>
    <w:rsid w:val="7E3A5D0F"/>
    <w:rsid w:val="7E5136E5"/>
    <w:rsid w:val="7E55235C"/>
    <w:rsid w:val="7E850CE3"/>
    <w:rsid w:val="7E88407B"/>
    <w:rsid w:val="7E885F66"/>
    <w:rsid w:val="7E9177EE"/>
    <w:rsid w:val="7E971257"/>
    <w:rsid w:val="7E9C0E41"/>
    <w:rsid w:val="7EA27534"/>
    <w:rsid w:val="7EAD18BA"/>
    <w:rsid w:val="7EB23E2E"/>
    <w:rsid w:val="7EB46880"/>
    <w:rsid w:val="7EC35197"/>
    <w:rsid w:val="7ED16AD0"/>
    <w:rsid w:val="7EED2B80"/>
    <w:rsid w:val="7F065AED"/>
    <w:rsid w:val="7F1D5F23"/>
    <w:rsid w:val="7F3868D1"/>
    <w:rsid w:val="7F444439"/>
    <w:rsid w:val="7F4E15D8"/>
    <w:rsid w:val="7F51557F"/>
    <w:rsid w:val="7F6D74B9"/>
    <w:rsid w:val="7F857D1E"/>
    <w:rsid w:val="7F90B85E"/>
    <w:rsid w:val="7F954F18"/>
    <w:rsid w:val="7F9D1D77"/>
    <w:rsid w:val="7FAF9950"/>
    <w:rsid w:val="7FCB4358"/>
    <w:rsid w:val="7FDE36E3"/>
    <w:rsid w:val="7FE85A34"/>
    <w:rsid w:val="7FF64D40"/>
    <w:rsid w:val="7FF72E33"/>
    <w:rsid w:val="7FFC44C5"/>
    <w:rsid w:val="7FFF93E5"/>
    <w:rsid w:val="B3DB2FE7"/>
    <w:rsid w:val="B6FF0B96"/>
    <w:rsid w:val="BA7B23C6"/>
    <w:rsid w:val="BA7B91C1"/>
    <w:rsid w:val="BCFDFFDC"/>
    <w:rsid w:val="BF9F587B"/>
    <w:rsid w:val="BFFF0F97"/>
    <w:rsid w:val="C5FF4071"/>
    <w:rsid w:val="DDD7E228"/>
    <w:rsid w:val="DF6BD744"/>
    <w:rsid w:val="DFE41E13"/>
    <w:rsid w:val="E45F1A4D"/>
    <w:rsid w:val="EB3F5A5A"/>
    <w:rsid w:val="EBFE2D78"/>
    <w:rsid w:val="ED87955D"/>
    <w:rsid w:val="EDF4A3C1"/>
    <w:rsid w:val="EDFBC2E6"/>
    <w:rsid w:val="EFFF8FEF"/>
    <w:rsid w:val="F7DF39B2"/>
    <w:rsid w:val="F7FD2E17"/>
    <w:rsid w:val="F93FFD9B"/>
    <w:rsid w:val="FCEFD877"/>
    <w:rsid w:val="FDE76B98"/>
    <w:rsid w:val="FEA676AA"/>
    <w:rsid w:val="FEFB89DA"/>
    <w:rsid w:val="FF79D041"/>
    <w:rsid w:val="FFCFE6ED"/>
    <w:rsid w:val="FFFBDD3B"/>
    <w:rsid w:val="FFFF27FE"/>
    <w:rsid w:val="FFFFD9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line="580" w:lineRule="exact"/>
      <w:ind w:firstLine="200" w:firstLineChars="200"/>
      <w:outlineLvl w:val="0"/>
    </w:pPr>
    <w:rPr>
      <w:rFonts w:ascii="仿宋_GB2312" w:hAnsi="Times New Roman" w:eastAsia="方正黑体_GBK" w:cs="Times New Roman"/>
      <w:bCs/>
      <w:kern w:val="44"/>
      <w:sz w:val="32"/>
      <w:szCs w:val="44"/>
    </w:rPr>
  </w:style>
  <w:style w:type="paragraph" w:styleId="5">
    <w:name w:val="heading 2"/>
    <w:basedOn w:val="1"/>
    <w:next w:val="1"/>
    <w:qFormat/>
    <w:uiPriority w:val="0"/>
    <w:pPr>
      <w:widowControl/>
      <w:spacing w:before="100" w:beforeAutospacing="1" w:after="100" w:afterAutospacing="1"/>
      <w:ind w:left="0" w:right="0"/>
      <w:jc w:val="left"/>
      <w:outlineLvl w:val="1"/>
    </w:pPr>
    <w:rPr>
      <w:rFonts w:ascii="宋体" w:hAnsi="宋体" w:eastAsia="宋体" w:cs="宋体"/>
      <w:b/>
      <w:bCs/>
      <w:kern w:val="0"/>
      <w:sz w:val="36"/>
      <w:szCs w:val="36"/>
      <w:lang w:val="en-US" w:eastAsia="zh-CN" w:bidi="ar-SA"/>
    </w:rPr>
  </w:style>
  <w:style w:type="paragraph" w:styleId="6">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9">
    <w:name w:val="Default Paragraph Font"/>
    <w:qFormat/>
    <w:uiPriority w:val="0"/>
    <w:rPr>
      <w:rFonts w:ascii="Times New Roman" w:hAnsi="Times New Roman" w:eastAsia="宋体" w:cs="Times New Roman"/>
    </w:rPr>
  </w:style>
  <w:style w:type="table" w:default="1" w:styleId="17">
    <w:name w:val="Normal Table"/>
    <w:qFormat/>
    <w:uiPriority w:val="0"/>
    <w:tblPr>
      <w:tblCellMar>
        <w:top w:w="0" w:type="dxa"/>
        <w:left w:w="108" w:type="dxa"/>
        <w:bottom w:w="0" w:type="dxa"/>
        <w:right w:w="108" w:type="dxa"/>
      </w:tblCellMar>
    </w:tblPr>
  </w:style>
  <w:style w:type="paragraph" w:customStyle="1" w:styleId="2">
    <w:name w:val="正文首行缩进 21"/>
    <w:basedOn w:val="3"/>
    <w:uiPriority w:val="0"/>
    <w:pPr>
      <w:widowControl/>
      <w:spacing w:line="300" w:lineRule="auto"/>
      <w:ind w:firstLine="420"/>
      <w:jc w:val="left"/>
      <w:textAlignment w:val="baseline"/>
    </w:pPr>
    <w:rPr>
      <w:rFonts w:ascii="Arial" w:hAnsi="Arial" w:eastAsia="宋体" w:cs="Times New Roman"/>
      <w:color w:val="000000"/>
      <w:sz w:val="22"/>
      <w:lang w:eastAsia="en-US"/>
    </w:rPr>
  </w:style>
  <w:style w:type="paragraph" w:customStyle="1" w:styleId="3">
    <w:name w:val="正文文本缩进1"/>
    <w:basedOn w:val="1"/>
    <w:uiPriority w:val="0"/>
    <w:pPr>
      <w:adjustRightInd w:val="0"/>
      <w:snapToGrid w:val="0"/>
      <w:spacing w:line="360" w:lineRule="auto"/>
      <w:ind w:left="1680" w:hanging="990" w:firstLineChars="200"/>
    </w:pPr>
    <w:rPr>
      <w:rFonts w:ascii="仿宋_GB2312" w:hAnsi="Times New Roman" w:eastAsia="仿宋_GB2312" w:cs="仿宋_GB2312"/>
      <w:spacing w:val="-4"/>
      <w:sz w:val="32"/>
      <w:szCs w:val="32"/>
    </w:rPr>
  </w:style>
  <w:style w:type="paragraph" w:styleId="7">
    <w:name w:val="Normal Indent"/>
    <w:basedOn w:val="1"/>
    <w:next w:val="1"/>
    <w:qFormat/>
    <w:uiPriority w:val="0"/>
    <w:pPr>
      <w:widowControl w:val="0"/>
      <w:spacing w:after="0"/>
      <w:ind w:firstLine="620"/>
      <w:jc w:val="both"/>
    </w:pPr>
    <w:rPr>
      <w:rFonts w:ascii="Times New Roman" w:hAnsi="Times New Roman" w:eastAsia="仿宋_GB2312" w:cs="Times New Roman"/>
      <w:kern w:val="0"/>
      <w:sz w:val="32"/>
      <w:szCs w:val="20"/>
      <w:lang w:val="en-US" w:eastAsia="zh-CN" w:bidi="ar-SA"/>
    </w:rPr>
  </w:style>
  <w:style w:type="paragraph" w:styleId="8">
    <w:name w:val="annotation text"/>
    <w:basedOn w:val="1"/>
    <w:qFormat/>
    <w:uiPriority w:val="0"/>
    <w:pPr>
      <w:jc w:val="left"/>
    </w:pPr>
    <w:rPr>
      <w:rFonts w:ascii="Times New Roman" w:hAnsi="Times New Roman" w:eastAsia="宋体" w:cs="Times New Roman"/>
    </w:rPr>
  </w:style>
  <w:style w:type="paragraph" w:styleId="9">
    <w:name w:val="Body Text"/>
    <w:basedOn w:val="1"/>
    <w:link w:val="38"/>
    <w:qFormat/>
    <w:uiPriority w:val="0"/>
    <w:pPr>
      <w:spacing w:line="600" w:lineRule="exact"/>
    </w:pPr>
    <w:rPr>
      <w:rFonts w:ascii="CG Times" w:hAnsi="CG Times" w:eastAsia="方正仿宋简体"/>
      <w:sz w:val="52"/>
      <w:szCs w:val="20"/>
    </w:rPr>
  </w:style>
  <w:style w:type="paragraph" w:styleId="10">
    <w:name w:val="Body Text Indent"/>
    <w:basedOn w:val="1"/>
    <w:link w:val="28"/>
    <w:qFormat/>
    <w:uiPriority w:val="0"/>
    <w:pPr>
      <w:spacing w:after="120"/>
      <w:ind w:left="420" w:leftChars="200"/>
    </w:pPr>
    <w:rPr>
      <w:rFonts w:ascii="Times New Roman" w:hAnsi="Times New Roman"/>
      <w:kern w:val="0"/>
      <w:sz w:val="20"/>
      <w:szCs w:val="20"/>
    </w:rPr>
  </w:style>
  <w:style w:type="paragraph" w:styleId="11">
    <w:name w:val="Date"/>
    <w:basedOn w:val="1"/>
    <w:next w:val="1"/>
    <w:link w:val="45"/>
    <w:qFormat/>
    <w:uiPriority w:val="0"/>
    <w:rPr>
      <w:rFonts w:ascii="CG Times" w:hAnsi="CG Times" w:eastAsia="方正仿宋简体"/>
      <w:sz w:val="32"/>
      <w:szCs w:val="20"/>
    </w:rPr>
  </w:style>
  <w:style w:type="paragraph" w:styleId="12">
    <w:name w:val="Balloon Text"/>
    <w:basedOn w:val="1"/>
    <w:qFormat/>
    <w:uiPriority w:val="0"/>
    <w:rPr>
      <w:rFonts w:ascii="仿宋_GB2312" w:hAnsi="Times New Roman" w:eastAsia="仿宋_GB2312" w:cs="Times New Roman"/>
      <w:sz w:val="18"/>
      <w:szCs w:val="18"/>
    </w:rPr>
  </w:style>
  <w:style w:type="paragraph" w:styleId="13">
    <w:name w:val="footer"/>
    <w:basedOn w:val="1"/>
    <w:link w:val="41"/>
    <w:uiPriority w:val="0"/>
    <w:pPr>
      <w:widowControl w:val="0"/>
      <w:tabs>
        <w:tab w:val="center" w:pos="4140"/>
        <w:tab w:val="right" w:pos="8300"/>
      </w:tabs>
      <w:snapToGrid w:val="0"/>
      <w:spacing w:after="0"/>
      <w:jc w:val="left"/>
    </w:pPr>
    <w:rPr>
      <w:kern w:val="0"/>
      <w:sz w:val="18"/>
      <w:szCs w:val="18"/>
    </w:rPr>
  </w:style>
  <w:style w:type="paragraph" w:styleId="14">
    <w:name w:val="header"/>
    <w:basedOn w:val="1"/>
    <w:link w:val="44"/>
    <w:uiPriority w:val="0"/>
    <w:pPr>
      <w:widowControl w:val="0"/>
      <w:pBdr>
        <w:bottom w:val="single" w:color="auto" w:sz="6" w:space="1"/>
      </w:pBdr>
      <w:tabs>
        <w:tab w:val="center" w:pos="4140"/>
        <w:tab w:val="right" w:pos="8300"/>
      </w:tabs>
      <w:snapToGrid w:val="0"/>
      <w:spacing w:after="0"/>
      <w:jc w:val="center"/>
    </w:pPr>
    <w:rPr>
      <w:rFonts w:ascii="Times New Roman" w:hAnsi="Times New Roman"/>
      <w:sz w:val="18"/>
      <w:szCs w:val="18"/>
    </w:rPr>
  </w:style>
  <w:style w:type="paragraph" w:styleId="15">
    <w:name w:val="Body Text 2"/>
    <w:basedOn w:val="1"/>
    <w:qFormat/>
    <w:uiPriority w:val="0"/>
    <w:rPr>
      <w:rFonts w:ascii="Times New Roman" w:hAnsi="Times New Roman" w:eastAsia="宋体" w:cs="Times New Roman"/>
      <w:b/>
      <w:bCs/>
      <w:sz w:val="44"/>
      <w:szCs w:val="20"/>
    </w:rPr>
  </w:style>
  <w:style w:type="paragraph" w:styleId="1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8">
    <w:name w:val="Table Grid"/>
    <w:basedOn w:val="17"/>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rFonts w:ascii="Times New Roman" w:hAnsi="Times New Roman" w:eastAsia="宋体" w:cs="Times New Roman"/>
      <w:b/>
      <w:bCs/>
    </w:rPr>
  </w:style>
  <w:style w:type="character" w:styleId="21">
    <w:name w:val="page number"/>
    <w:basedOn w:val="19"/>
    <w:qFormat/>
    <w:uiPriority w:val="0"/>
    <w:rPr>
      <w:rFonts w:ascii="Times New Roman" w:hAnsi="Times New Roman" w:eastAsia="宋体" w:cs="Times New Roman"/>
      <w:sz w:val="28"/>
    </w:rPr>
  </w:style>
  <w:style w:type="character" w:styleId="22">
    <w:name w:val="FollowedHyperlink"/>
    <w:basedOn w:val="19"/>
    <w:qFormat/>
    <w:uiPriority w:val="0"/>
    <w:rPr>
      <w:rFonts w:ascii="Times New Roman" w:hAnsi="Times New Roman" w:eastAsia="宋体" w:cs="Times New Roman"/>
      <w:color w:val="000000"/>
      <w:u w:val="none"/>
    </w:rPr>
  </w:style>
  <w:style w:type="character" w:styleId="23">
    <w:name w:val="Hyperlink"/>
    <w:qFormat/>
    <w:uiPriority w:val="0"/>
    <w:rPr>
      <w:rFonts w:ascii="Times New Roman" w:hAnsi="Times New Roman" w:eastAsia="宋体" w:cs="Times New Roman"/>
      <w:color w:val="0000FF"/>
      <w:u w:val="single"/>
    </w:rPr>
  </w:style>
  <w:style w:type="character" w:styleId="24">
    <w:name w:val="HTML Code"/>
    <w:basedOn w:val="19"/>
    <w:qFormat/>
    <w:uiPriority w:val="0"/>
    <w:rPr>
      <w:rFonts w:ascii="Courier New" w:hAnsi="Courier New" w:eastAsia="宋体" w:cs="Times New Roman"/>
      <w:sz w:val="20"/>
    </w:rPr>
  </w:style>
  <w:style w:type="character" w:styleId="25">
    <w:name w:val="annotation reference"/>
    <w:basedOn w:val="19"/>
    <w:qFormat/>
    <w:uiPriority w:val="0"/>
    <w:rPr>
      <w:rFonts w:ascii="Times New Roman" w:hAnsi="Times New Roman" w:eastAsia="宋体" w:cs="Times New Roman"/>
      <w:sz w:val="21"/>
      <w:szCs w:val="21"/>
    </w:rPr>
  </w:style>
  <w:style w:type="character" w:customStyle="1" w:styleId="26">
    <w:name w:val="hover19"/>
    <w:basedOn w:val="19"/>
    <w:qFormat/>
    <w:uiPriority w:val="0"/>
    <w:rPr>
      <w:rFonts w:ascii="Times New Roman" w:hAnsi="Times New Roman" w:eastAsia="宋体" w:cs="Times New Roman"/>
      <w:color w:val="015293"/>
    </w:rPr>
  </w:style>
  <w:style w:type="character" w:customStyle="1" w:styleId="27">
    <w:name w:val="m011"/>
    <w:basedOn w:val="19"/>
    <w:qFormat/>
    <w:uiPriority w:val="0"/>
    <w:rPr>
      <w:rFonts w:ascii="Times New Roman" w:hAnsi="Times New Roman" w:eastAsia="宋体" w:cs="Times New Roman"/>
    </w:rPr>
  </w:style>
  <w:style w:type="character" w:customStyle="1" w:styleId="28">
    <w:name w:val="正文文本缩进 Char"/>
    <w:link w:val="10"/>
    <w:qFormat/>
    <w:uiPriority w:val="0"/>
    <w:rPr>
      <w:rFonts w:ascii="Times New Roman" w:hAnsi="Times New Roman" w:eastAsia="宋体" w:cs="Times New Roman"/>
    </w:rPr>
  </w:style>
  <w:style w:type="character" w:customStyle="1" w:styleId="29">
    <w:name w:val="laypage_curr"/>
    <w:basedOn w:val="19"/>
    <w:qFormat/>
    <w:uiPriority w:val="0"/>
    <w:rPr>
      <w:rFonts w:ascii="Times New Roman" w:hAnsi="Times New Roman" w:eastAsia="宋体" w:cs="Times New Roman"/>
      <w:color w:val="FFFDF4"/>
      <w:shd w:val="clear" w:color="auto" w:fill="0B67A6"/>
    </w:rPr>
  </w:style>
  <w:style w:type="character" w:customStyle="1" w:styleId="30">
    <w:name w:val="more3"/>
    <w:basedOn w:val="19"/>
    <w:qFormat/>
    <w:uiPriority w:val="0"/>
    <w:rPr>
      <w:rFonts w:ascii="Times New Roman" w:hAnsi="Times New Roman" w:eastAsia="宋体" w:cs="Times New Roman"/>
      <w:color w:val="666666"/>
      <w:sz w:val="18"/>
      <w:szCs w:val="18"/>
    </w:rPr>
  </w:style>
  <w:style w:type="character" w:customStyle="1" w:styleId="31">
    <w:name w:val="karen11"/>
    <w:qFormat/>
    <w:uiPriority w:val="0"/>
    <w:rPr>
      <w:rFonts w:ascii="ˎ̥" w:hAnsi="ˎ̥" w:eastAsia="仿宋_GB2312" w:cs="Times New Roman"/>
      <w:sz w:val="32"/>
    </w:rPr>
  </w:style>
  <w:style w:type="character" w:customStyle="1" w:styleId="32">
    <w:name w:val="tabg"/>
    <w:basedOn w:val="19"/>
    <w:qFormat/>
    <w:uiPriority w:val="0"/>
    <w:rPr>
      <w:rFonts w:ascii="Times New Roman" w:hAnsi="Times New Roman" w:eastAsia="宋体" w:cs="Times New Roman"/>
      <w:color w:val="FFFFFF"/>
      <w:sz w:val="27"/>
      <w:szCs w:val="27"/>
    </w:rPr>
  </w:style>
  <w:style w:type="character" w:customStyle="1" w:styleId="33">
    <w:name w:val="font3"/>
    <w:basedOn w:val="19"/>
    <w:qFormat/>
    <w:uiPriority w:val="0"/>
    <w:rPr>
      <w:rFonts w:ascii="Times New Roman" w:hAnsi="Times New Roman" w:eastAsia="宋体" w:cs="Times New Roman"/>
    </w:rPr>
  </w:style>
  <w:style w:type="character" w:customStyle="1" w:styleId="34">
    <w:name w:val="font1"/>
    <w:basedOn w:val="19"/>
    <w:qFormat/>
    <w:uiPriority w:val="0"/>
    <w:rPr>
      <w:rFonts w:ascii="Times New Roman" w:hAnsi="Times New Roman" w:eastAsia="宋体" w:cs="Times New Roman"/>
    </w:rPr>
  </w:style>
  <w:style w:type="character" w:customStyle="1" w:styleId="35">
    <w:name w:val="font2"/>
    <w:basedOn w:val="19"/>
    <w:qFormat/>
    <w:uiPriority w:val="0"/>
    <w:rPr>
      <w:rFonts w:ascii="Times New Roman" w:hAnsi="Times New Roman" w:eastAsia="宋体" w:cs="Times New Roman"/>
    </w:rPr>
  </w:style>
  <w:style w:type="character" w:customStyle="1" w:styleId="36">
    <w:name w:val="more"/>
    <w:basedOn w:val="19"/>
    <w:qFormat/>
    <w:uiPriority w:val="0"/>
    <w:rPr>
      <w:rFonts w:ascii="Times New Roman" w:hAnsi="Times New Roman" w:eastAsia="宋体" w:cs="Times New Roman"/>
      <w:color w:val="666666"/>
      <w:sz w:val="18"/>
      <w:szCs w:val="18"/>
    </w:rPr>
  </w:style>
  <w:style w:type="character" w:customStyle="1" w:styleId="37">
    <w:name w:val="bg01"/>
    <w:basedOn w:val="19"/>
    <w:qFormat/>
    <w:uiPriority w:val="0"/>
    <w:rPr>
      <w:rFonts w:ascii="Times New Roman" w:hAnsi="Times New Roman" w:eastAsia="宋体" w:cs="Times New Roman"/>
    </w:rPr>
  </w:style>
  <w:style w:type="character" w:customStyle="1" w:styleId="38">
    <w:name w:val="正文文本 Char"/>
    <w:link w:val="9"/>
    <w:qFormat/>
    <w:uiPriority w:val="0"/>
    <w:rPr>
      <w:rFonts w:ascii="CG Times" w:hAnsi="CG Times" w:eastAsia="方正仿宋简体" w:cs="Times New Roman"/>
      <w:kern w:val="2"/>
      <w:sz w:val="52"/>
    </w:rPr>
  </w:style>
  <w:style w:type="character" w:customStyle="1" w:styleId="39">
    <w:name w:val="二级标题 Char"/>
    <w:link w:val="40"/>
    <w:qFormat/>
    <w:uiPriority w:val="0"/>
    <w:rPr>
      <w:rFonts w:ascii="楷体_GB2312" w:hAnsi="黑体" w:eastAsia="楷体_GB2312" w:cs="Times New Roman"/>
      <w:b/>
      <w:bCs/>
      <w:sz w:val="32"/>
      <w:szCs w:val="32"/>
    </w:rPr>
  </w:style>
  <w:style w:type="paragraph" w:customStyle="1" w:styleId="40">
    <w:name w:val="二级标题"/>
    <w:basedOn w:val="5"/>
    <w:link w:val="39"/>
    <w:uiPriority w:val="0"/>
    <w:pPr>
      <w:keepNext/>
      <w:keepLines/>
      <w:widowControl w:val="0"/>
      <w:spacing w:before="260" w:beforeAutospacing="0" w:after="260" w:afterAutospacing="0" w:line="500" w:lineRule="exact"/>
      <w:ind w:firstLine="200" w:firstLineChars="200"/>
      <w:jc w:val="both"/>
    </w:pPr>
    <w:rPr>
      <w:rFonts w:ascii="楷体_GB2312" w:hAnsi="黑体" w:eastAsia="楷体_GB2312" w:cs="Times New Roman"/>
      <w:sz w:val="32"/>
      <w:szCs w:val="32"/>
    </w:rPr>
  </w:style>
  <w:style w:type="character" w:customStyle="1" w:styleId="41">
    <w:name w:val="页脚 Char"/>
    <w:link w:val="13"/>
    <w:qFormat/>
    <w:uiPriority w:val="0"/>
    <w:rPr>
      <w:rFonts w:ascii="Calibri" w:hAnsi="Calibri" w:eastAsia="宋体" w:cs="Times New Roman"/>
      <w:kern w:val="0"/>
      <w:sz w:val="18"/>
      <w:szCs w:val="18"/>
    </w:rPr>
  </w:style>
  <w:style w:type="character" w:customStyle="1" w:styleId="42">
    <w:name w:val="bg02"/>
    <w:basedOn w:val="19"/>
    <w:qFormat/>
    <w:uiPriority w:val="0"/>
    <w:rPr>
      <w:rFonts w:ascii="Times New Roman" w:hAnsi="Times New Roman" w:eastAsia="宋体" w:cs="Times New Roman"/>
    </w:rPr>
  </w:style>
  <w:style w:type="character" w:customStyle="1" w:styleId="43">
    <w:name w:val="name"/>
    <w:basedOn w:val="19"/>
    <w:qFormat/>
    <w:uiPriority w:val="0"/>
    <w:rPr>
      <w:rFonts w:ascii="Times New Roman" w:hAnsi="Times New Roman" w:eastAsia="宋体" w:cs="Times New Roman"/>
      <w:color w:val="6A6A6A"/>
      <w:u w:val="single"/>
    </w:rPr>
  </w:style>
  <w:style w:type="character" w:customStyle="1" w:styleId="44">
    <w:name w:val="页眉 Char"/>
    <w:link w:val="14"/>
    <w:qFormat/>
    <w:uiPriority w:val="0"/>
    <w:rPr>
      <w:rFonts w:ascii="Times New Roman" w:hAnsi="Times New Roman" w:eastAsia="宋体" w:cs="Times New Roman"/>
      <w:kern w:val="2"/>
      <w:sz w:val="18"/>
      <w:szCs w:val="18"/>
    </w:rPr>
  </w:style>
  <w:style w:type="character" w:customStyle="1" w:styleId="45">
    <w:name w:val="日期 Char"/>
    <w:link w:val="11"/>
    <w:qFormat/>
    <w:uiPriority w:val="0"/>
    <w:rPr>
      <w:rFonts w:ascii="CG Times" w:hAnsi="CG Times" w:eastAsia="方正仿宋简体" w:cs="Times New Roman"/>
      <w:kern w:val="2"/>
      <w:sz w:val="32"/>
    </w:rPr>
  </w:style>
  <w:style w:type="character" w:customStyle="1" w:styleId="46">
    <w:name w:val="m01"/>
    <w:basedOn w:val="19"/>
    <w:qFormat/>
    <w:uiPriority w:val="0"/>
    <w:rPr>
      <w:rFonts w:ascii="Times New Roman" w:hAnsi="Times New Roman" w:eastAsia="宋体" w:cs="Times New Roman"/>
    </w:rPr>
  </w:style>
  <w:style w:type="character" w:customStyle="1" w:styleId="47">
    <w:name w:val="hover17"/>
    <w:basedOn w:val="19"/>
    <w:qFormat/>
    <w:uiPriority w:val="0"/>
    <w:rPr>
      <w:rFonts w:ascii="Times New Roman" w:hAnsi="Times New Roman" w:eastAsia="宋体" w:cs="Times New Roman"/>
      <w:color w:val="015293"/>
    </w:rPr>
  </w:style>
  <w:style w:type="character" w:customStyle="1" w:styleId="48">
    <w:name w:val="more4"/>
    <w:basedOn w:val="19"/>
    <w:qFormat/>
    <w:uiPriority w:val="0"/>
    <w:rPr>
      <w:rFonts w:ascii="Times New Roman" w:hAnsi="Times New Roman" w:eastAsia="宋体" w:cs="Times New Roman"/>
      <w:color w:val="666666"/>
      <w:sz w:val="18"/>
      <w:szCs w:val="18"/>
    </w:rPr>
  </w:style>
  <w:style w:type="character" w:customStyle="1" w:styleId="49">
    <w:name w:val="hover18"/>
    <w:basedOn w:val="19"/>
    <w:qFormat/>
    <w:uiPriority w:val="0"/>
    <w:rPr>
      <w:rFonts w:ascii="Times New Roman" w:hAnsi="Times New Roman" w:eastAsia="宋体" w:cs="Times New Roman"/>
      <w:color w:val="015293"/>
    </w:rPr>
  </w:style>
  <w:style w:type="character" w:customStyle="1" w:styleId="50">
    <w:name w:val="页脚 字符"/>
    <w:qFormat/>
    <w:uiPriority w:val="0"/>
    <w:rPr>
      <w:rFonts w:ascii="仿宋_GB2312" w:hAnsi="Times New Roman" w:eastAsia="仿宋_GB2312" w:cs="Times New Roman"/>
      <w:kern w:val="2"/>
      <w:sz w:val="18"/>
      <w:szCs w:val="18"/>
    </w:rPr>
  </w:style>
  <w:style w:type="character" w:customStyle="1" w:styleId="51">
    <w:name w:val="dates"/>
    <w:basedOn w:val="19"/>
    <w:qFormat/>
    <w:uiPriority w:val="0"/>
    <w:rPr>
      <w:rFonts w:ascii="Times New Roman" w:hAnsi="Times New Roman" w:eastAsia="宋体" w:cs="Times New Roman"/>
    </w:rPr>
  </w:style>
  <w:style w:type="character" w:customStyle="1" w:styleId="52">
    <w:name w:val="一级标题 Char"/>
    <w:link w:val="53"/>
    <w:qFormat/>
    <w:uiPriority w:val="0"/>
    <w:rPr>
      <w:rFonts w:ascii="黑体" w:hAnsi="黑体" w:eastAsia="黑体" w:cs="Times New Roman"/>
      <w:b/>
      <w:bCs/>
      <w:sz w:val="32"/>
      <w:szCs w:val="32"/>
    </w:rPr>
  </w:style>
  <w:style w:type="paragraph" w:customStyle="1" w:styleId="53">
    <w:name w:val="一级标题"/>
    <w:basedOn w:val="5"/>
    <w:link w:val="52"/>
    <w:uiPriority w:val="0"/>
    <w:pPr>
      <w:keepNext/>
      <w:keepLines/>
      <w:widowControl w:val="0"/>
      <w:spacing w:before="200" w:beforeAutospacing="0" w:after="200" w:afterAutospacing="0" w:line="500" w:lineRule="exact"/>
      <w:ind w:firstLine="640" w:firstLineChars="200"/>
      <w:jc w:val="both"/>
    </w:pPr>
    <w:rPr>
      <w:rFonts w:ascii="黑体" w:hAnsi="黑体" w:eastAsia="黑体" w:cs="Times New Roman"/>
      <w:sz w:val="32"/>
      <w:szCs w:val="32"/>
    </w:rPr>
  </w:style>
  <w:style w:type="character" w:customStyle="1" w:styleId="54">
    <w:name w:val="font"/>
    <w:basedOn w:val="19"/>
    <w:qFormat/>
    <w:uiPriority w:val="0"/>
    <w:rPr>
      <w:rFonts w:ascii="Times New Roman" w:hAnsi="Times New Roman" w:eastAsia="宋体" w:cs="Times New Roman"/>
    </w:rPr>
  </w:style>
  <w:style w:type="paragraph" w:customStyle="1" w:styleId="55">
    <w:name w:val="content8"/>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56">
    <w:name w:val="p0"/>
    <w:basedOn w:val="1"/>
    <w:uiPriority w:val="0"/>
    <w:pPr>
      <w:widowControl/>
    </w:pPr>
    <w:rPr>
      <w:rFonts w:ascii="Times New Roman" w:hAnsi="Times New Roman" w:eastAsia="宋体" w:cs="Times New Roman"/>
      <w:kern w:val="0"/>
      <w:szCs w:val="21"/>
    </w:rPr>
  </w:style>
  <w:style w:type="paragraph" w:customStyle="1" w:styleId="57">
    <w:name w:val="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8">
    <w:name w:val="Char11"/>
    <w:basedOn w:val="1"/>
    <w:uiPriority w:val="0"/>
    <w:rPr>
      <w:rFonts w:ascii="仿宋_GB2312" w:hAnsi="Times New Roman" w:eastAsia="仿宋_GB2312" w:cs="Times New Roman"/>
      <w:b/>
      <w:sz w:val="32"/>
      <w:szCs w:val="32"/>
    </w:rPr>
  </w:style>
  <w:style w:type="paragraph" w:styleId="59">
    <w:name w:val="List Paragraph"/>
    <w:basedOn w:val="1"/>
    <w:qFormat/>
    <w:uiPriority w:val="0"/>
    <w:pPr>
      <w:ind w:firstLine="420" w:firstLineChars="200"/>
    </w:pPr>
    <w:rPr>
      <w:rFonts w:ascii="Times New Roman" w:hAnsi="Times New Roman" w:eastAsia="宋体" w:cs="Times New Roman"/>
    </w:rPr>
  </w:style>
  <w:style w:type="paragraph" w:customStyle="1" w:styleId="60">
    <w:name w:val="抄 送"/>
    <w:basedOn w:val="1"/>
    <w:uiPriority w:val="0"/>
    <w:rPr>
      <w:rFonts w:ascii="Times New Roman" w:hAnsi="Times New Roman" w:eastAsia="仿宋_GB2312" w:cs="Times New Roman"/>
      <w:sz w:val="32"/>
      <w:szCs w:val="20"/>
    </w:rPr>
  </w:style>
  <w:style w:type="paragraph" w:customStyle="1" w:styleId="61">
    <w:name w:val="普通(网站)1"/>
    <w:basedOn w:val="1"/>
    <w:uiPriority w:val="0"/>
    <w:pPr>
      <w:widowControl/>
      <w:adjustRightInd w:val="0"/>
      <w:snapToGrid w:val="0"/>
      <w:spacing w:before="100" w:beforeAutospacing="1" w:after="100" w:afterAutospacing="1" w:line="360" w:lineRule="auto"/>
      <w:ind w:firstLine="640" w:firstLineChars="200"/>
      <w:jc w:val="left"/>
    </w:pPr>
    <w:rPr>
      <w:rFonts w:hint="eastAsia" w:ascii="Arial Unicode MS" w:hAnsi="Arial Unicode MS" w:eastAsia="Arial Unicode MS" w:cs="Arial Unicode MS"/>
      <w:kern w:val="0"/>
      <w:sz w:val="24"/>
      <w:szCs w:val="24"/>
    </w:rPr>
  </w:style>
  <w:style w:type="paragraph" w:customStyle="1" w:styleId="62">
    <w:name w:val="Char2"/>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63">
    <w:name w:val="秘密紧急"/>
    <w:basedOn w:val="1"/>
    <w:uiPriority w:val="0"/>
    <w:pPr>
      <w:jc w:val="right"/>
    </w:pPr>
    <w:rPr>
      <w:rFonts w:ascii="黑体" w:hAnsi="Times New Roman" w:eastAsia="黑体" w:cs="Times New Roman"/>
      <w:sz w:val="32"/>
      <w:szCs w:val="20"/>
    </w:rPr>
  </w:style>
  <w:style w:type="paragraph" w:customStyle="1" w:styleId="64">
    <w:name w:val="Char Char Char1"/>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65">
    <w:name w:val="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66">
    <w:name w:val="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67">
    <w:name w:val="Char1"/>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68">
    <w:name w:val="附件"/>
    <w:basedOn w:val="1"/>
    <w:uiPriority w:val="0"/>
    <w:pPr>
      <w:ind w:left="1638" w:hanging="1016"/>
    </w:pPr>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WANG JIAN</Company>
  <Pages>23</Pages>
  <Words>1599</Words>
  <Characters>9116</Characters>
  <Lines>75</Lines>
  <Paragraphs>21</Paragraphs>
  <TotalTime>157257600</TotalTime>
  <ScaleCrop>false</ScaleCrop>
  <LinksUpToDate>false</LinksUpToDate>
  <CharactersWithSpaces>10694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2021-04-03T07:08:00Z</dcterms:created>
  <dc:creator>系统管理员</dc:creator>
  <cp:lastModifiedBy>Administrator</cp:lastModifiedBy>
  <dcterms:modified xsi:type="dcterms:W3CDTF">2021-09-29T03:18:31Z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B27C179EB68549099FAC9FC81AD9D7AE</vt:lpwstr>
  </property>
  <property fmtid="{D5CDD505-2E9C-101B-9397-08002B2CF9AE}" pid="3" name="KSOProductBuildVer">
    <vt:lpwstr>2052-11.8.2.9022</vt:lpwstr>
  </property>
</Properties>
</file>