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pacing w:before="312" w:beforeLines="100" w:after="312" w:afterLines="100" w:line="500" w:lineRule="exact"/>
        <w:jc w:val="center"/>
        <w:rPr>
          <w:rFonts w:ascii="方正小标宋简体" w:hAnsi="方正小标宋简体" w:eastAsia="方正小标宋简体" w:cs="方正小标宋简体"/>
          <w:sz w:val="44"/>
          <w:szCs w:val="44"/>
        </w:rPr>
      </w:pPr>
      <w:bookmarkStart w:id="0" w:name="_Hlk517170791"/>
      <w:r>
        <w:rPr>
          <w:rFonts w:hint="eastAsia" w:ascii="方正小标宋简体" w:hAnsi="方正小标宋简体" w:eastAsia="方正小标宋简体" w:cs="方正小标宋简体"/>
          <w:sz w:val="44"/>
          <w:szCs w:val="44"/>
        </w:rPr>
        <w:t>云南省“十四五”安全生产</w:t>
      </w:r>
      <w:bookmarkEnd w:id="0"/>
      <w:r>
        <w:rPr>
          <w:rFonts w:hint="eastAsia" w:ascii="方正小标宋简体" w:hAnsi="方正小标宋简体" w:eastAsia="方正小标宋简体" w:cs="方正小标宋简体"/>
          <w:sz w:val="44"/>
          <w:szCs w:val="44"/>
        </w:rPr>
        <w:t>规划</w:t>
      </w:r>
    </w:p>
    <w:p>
      <w:pPr>
        <w:spacing w:before="312" w:beforeLines="100" w:after="312" w:afterLines="10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宋体" w:eastAsia="仿宋_GB2312"/>
          <w:b/>
          <w:sz w:val="44"/>
          <w:szCs w:val="44"/>
        </w:rPr>
      </w:pPr>
    </w:p>
    <w:p>
      <w:pPr>
        <w:snapToGrid w:val="0"/>
        <w:spacing w:line="360" w:lineRule="auto"/>
        <w:jc w:val="center"/>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云南省应急管理厅</w:t>
      </w:r>
    </w:p>
    <w:p>
      <w:pPr>
        <w:snapToGrid w:val="0"/>
        <w:spacing w:line="360" w:lineRule="auto"/>
        <w:jc w:val="center"/>
        <w:rPr>
          <w:rFonts w:ascii="方正楷体简体" w:hAnsi="方正楷体简体" w:eastAsia="方正楷体简体" w:cs="方正楷体简体"/>
          <w:b/>
          <w:sz w:val="32"/>
          <w:szCs w:val="32"/>
        </w:rPr>
      </w:pPr>
      <w:r>
        <w:rPr>
          <w:rFonts w:hint="eastAsia" w:ascii="仿宋" w:hAnsi="仿宋" w:eastAsia="仿宋" w:cs="仿宋"/>
          <w:b/>
          <w:sz w:val="32"/>
          <w:szCs w:val="32"/>
        </w:rPr>
        <w:t>2022</w:t>
      </w:r>
      <w:r>
        <w:rPr>
          <w:rFonts w:hint="eastAsia" w:ascii="方正楷体简体" w:hAnsi="方正楷体简体" w:eastAsia="方正楷体简体" w:cs="方正楷体简体"/>
          <w:b/>
          <w:sz w:val="32"/>
          <w:szCs w:val="32"/>
        </w:rPr>
        <w:t>年</w:t>
      </w:r>
      <w:r>
        <w:rPr>
          <w:rFonts w:hint="eastAsia" w:ascii="仿宋" w:hAnsi="仿宋" w:eastAsia="仿宋" w:cs="仿宋"/>
          <w:b/>
          <w:sz w:val="32"/>
          <w:szCs w:val="32"/>
        </w:rPr>
        <w:t>1</w:t>
      </w:r>
      <w:r>
        <w:rPr>
          <w:rFonts w:hint="eastAsia" w:ascii="方正楷体简体" w:hAnsi="方正楷体简体" w:eastAsia="方正楷体简体" w:cs="方正楷体简体"/>
          <w:b/>
          <w:sz w:val="32"/>
          <w:szCs w:val="32"/>
        </w:rPr>
        <w:t>月</w:t>
      </w:r>
    </w:p>
    <w:p>
      <w:pPr>
        <w:snapToGrid w:val="0"/>
        <w:spacing w:line="360" w:lineRule="auto"/>
        <w:jc w:val="center"/>
        <w:rPr>
          <w:rFonts w:ascii="仿宋_GB2312" w:hAnsi="宋体" w:eastAsia="仿宋_GB2312"/>
          <w:b/>
          <w:sz w:val="44"/>
          <w:szCs w:val="44"/>
        </w:rPr>
      </w:pPr>
    </w:p>
    <w:p>
      <w:pPr>
        <w:snapToGrid w:val="0"/>
        <w:spacing w:line="360" w:lineRule="auto"/>
        <w:jc w:val="center"/>
        <w:rPr>
          <w:rFonts w:ascii="仿宋_GB2312" w:hAnsi="楷体" w:eastAsia="仿宋_GB2312" w:cs="楷体"/>
          <w:b/>
          <w:sz w:val="36"/>
          <w:szCs w:val="36"/>
        </w:rPr>
        <w:sectPr>
          <w:headerReference r:id="rId3" w:type="default"/>
          <w:pgSz w:w="11906" w:h="16838"/>
          <w:pgMar w:top="1440" w:right="1800" w:bottom="1440" w:left="1800" w:header="851" w:footer="992" w:gutter="0"/>
          <w:pgNumType w:fmt="numberInDash" w:start="0"/>
          <w:cols w:space="425" w:num="1"/>
          <w:docGrid w:type="lines" w:linePitch="312" w:charSpace="0"/>
        </w:sectPr>
      </w:pPr>
    </w:p>
    <w:p>
      <w:pPr>
        <w:widowControl/>
        <w:spacing w:line="420" w:lineRule="exact"/>
        <w:jc w:val="center"/>
        <w:rPr>
          <w:rFonts w:ascii="华文楷体" w:hAnsi="华文楷体" w:eastAsia="华文楷体" w:cs="MingLiU_HKSCS"/>
          <w:kern w:val="0"/>
          <w:sz w:val="40"/>
          <w:szCs w:val="44"/>
          <w:lang w:val="zh-TW"/>
        </w:rPr>
      </w:pPr>
      <w:r>
        <w:rPr>
          <w:rFonts w:hint="eastAsia" w:ascii="华文楷体" w:hAnsi="华文楷体" w:eastAsia="华文楷体" w:cs="MingLiU_HKSCS"/>
          <w:kern w:val="0"/>
          <w:sz w:val="40"/>
          <w:szCs w:val="44"/>
          <w:lang w:val="zh-TW"/>
        </w:rPr>
        <w:t>目  录</w:t>
      </w:r>
    </w:p>
    <w:p>
      <w:pPr>
        <w:pStyle w:val="19"/>
        <w:tabs>
          <w:tab w:val="right" w:leader="dot" w:pos="8296"/>
        </w:tabs>
        <w:rPr>
          <w:rFonts w:asciiTheme="minorHAnsi" w:hAnsiTheme="minorHAnsi" w:eastAsiaTheme="minorEastAsia" w:cstheme="minorBidi"/>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fldChar w:fldCharType="begin"/>
      </w:r>
      <w:r>
        <w:instrText xml:space="preserve"> HYPERLINK \l "_Toc92799654" </w:instrText>
      </w:r>
      <w:r>
        <w:fldChar w:fldCharType="separate"/>
      </w:r>
      <w:r>
        <w:rPr>
          <w:rStyle w:val="28"/>
          <w:rFonts w:ascii="黑体" w:hAnsi="黑体" w:eastAsia="黑体"/>
        </w:rPr>
        <w:t>前  言</w:t>
      </w:r>
      <w:r>
        <w:tab/>
      </w:r>
      <w:r>
        <w:fldChar w:fldCharType="begin"/>
      </w:r>
      <w:r>
        <w:instrText xml:space="preserve"> PAGEREF _Toc92799654 \h </w:instrText>
      </w:r>
      <w:r>
        <w:fldChar w:fldCharType="separate"/>
      </w:r>
      <w:r>
        <w:t>- 2 -</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"_Toc92799655" </w:instrText>
      </w:r>
      <w:r>
        <w:fldChar w:fldCharType="separate"/>
      </w:r>
      <w:r>
        <w:rPr>
          <w:rStyle w:val="28"/>
          <w:rFonts w:eastAsia="黑体"/>
          <w:shd w:val="clear" w:color="auto" w:fill="FFFFFF"/>
          <w:lang w:val="zh-CN"/>
        </w:rPr>
        <w:t>一、现状与形势</w:t>
      </w:r>
      <w:r>
        <w:tab/>
      </w:r>
      <w:r>
        <w:fldChar w:fldCharType="begin"/>
      </w:r>
      <w:r>
        <w:instrText xml:space="preserve"> PAGEREF _Toc92799655 \h </w:instrText>
      </w:r>
      <w:r>
        <w:fldChar w:fldCharType="separate"/>
      </w:r>
      <w:r>
        <w:t>- 3 -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"_Toc92799656" </w:instrText>
      </w:r>
      <w:r>
        <w:fldChar w:fldCharType="separate"/>
      </w:r>
      <w:r>
        <w:rPr>
          <w:rStyle w:val="28"/>
          <w:rFonts w:ascii="方正楷体简体" w:hAnsi="方正楷体简体" w:eastAsia="方正楷体简体" w:cs="方正楷体简体"/>
        </w:rPr>
        <w:t>（一）“十三五”期间工作成效</w:t>
      </w:r>
      <w:r>
        <w:tab/>
      </w:r>
      <w:r>
        <w:fldChar w:fldCharType="begin"/>
      </w:r>
      <w:r>
        <w:instrText xml:space="preserve"> PAGEREF _Toc92799656 \h </w:instrText>
      </w:r>
      <w:r>
        <w:fldChar w:fldCharType="separate"/>
      </w:r>
      <w:r>
        <w:t>- 3 -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"_Toc92799657" </w:instrText>
      </w:r>
      <w:r>
        <w:fldChar w:fldCharType="separate"/>
      </w:r>
      <w:r>
        <w:rPr>
          <w:rStyle w:val="28"/>
          <w:rFonts w:ascii="方正楷体简体" w:hAnsi="方正楷体简体" w:eastAsia="方正楷体简体" w:cs="方正楷体简体"/>
        </w:rPr>
        <w:t>（二）“十四五”时期面临形势</w:t>
      </w:r>
      <w:r>
        <w:tab/>
      </w:r>
      <w:r>
        <w:fldChar w:fldCharType="begin"/>
      </w:r>
      <w:r>
        <w:instrText xml:space="preserve"> PAGEREF _Toc92799657 \h </w:instrText>
      </w:r>
      <w:r>
        <w:fldChar w:fldCharType="separate"/>
      </w:r>
      <w:r>
        <w:t>- 6 -</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"_Toc92799658" </w:instrText>
      </w:r>
      <w:r>
        <w:fldChar w:fldCharType="separate"/>
      </w:r>
      <w:r>
        <w:rPr>
          <w:rStyle w:val="28"/>
          <w:rFonts w:hAnsi="黑体" w:eastAsia="黑体"/>
        </w:rPr>
        <w:t>二、指导思想、基本原则和规划目标</w:t>
      </w:r>
      <w:r>
        <w:tab/>
      </w:r>
      <w:r>
        <w:fldChar w:fldCharType="begin"/>
      </w:r>
      <w:r>
        <w:instrText xml:space="preserve"> PAGEREF _Toc92799658 \h </w:instrText>
      </w:r>
      <w:r>
        <w:fldChar w:fldCharType="separate"/>
      </w:r>
      <w:r>
        <w:t>- 8 -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"_Toc92799659" </w:instrText>
      </w:r>
      <w:r>
        <w:fldChar w:fldCharType="separate"/>
      </w:r>
      <w:r>
        <w:rPr>
          <w:rStyle w:val="28"/>
          <w:rFonts w:ascii="方正楷体简体" w:hAnsi="方正楷体简体" w:eastAsia="方正楷体简体" w:cs="方正楷体简体"/>
        </w:rPr>
        <w:t>（一）指导思想</w:t>
      </w:r>
      <w:r>
        <w:tab/>
      </w:r>
      <w:r>
        <w:fldChar w:fldCharType="begin"/>
      </w:r>
      <w:r>
        <w:instrText xml:space="preserve"> PAGEREF _Toc92799659 \h </w:instrText>
      </w:r>
      <w:r>
        <w:fldChar w:fldCharType="separate"/>
      </w:r>
      <w:r>
        <w:t>- 8 -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"_Toc92799660" </w:instrText>
      </w:r>
      <w:r>
        <w:fldChar w:fldCharType="separate"/>
      </w:r>
      <w:r>
        <w:rPr>
          <w:rStyle w:val="28"/>
          <w:rFonts w:ascii="方正楷体简体" w:hAnsi="方正楷体简体" w:eastAsia="方正楷体简体" w:cs="方正楷体简体"/>
        </w:rPr>
        <w:t>（二）基本原则</w:t>
      </w:r>
      <w:r>
        <w:tab/>
      </w:r>
      <w:r>
        <w:fldChar w:fldCharType="begin"/>
      </w:r>
      <w:r>
        <w:instrText xml:space="preserve"> PAGEREF _Toc92799660 \h </w:instrText>
      </w:r>
      <w:r>
        <w:fldChar w:fldCharType="separate"/>
      </w:r>
      <w:r>
        <w:t>- 9 -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"_Toc92799661" </w:instrText>
      </w:r>
      <w:r>
        <w:fldChar w:fldCharType="separate"/>
      </w:r>
      <w:r>
        <w:rPr>
          <w:rStyle w:val="28"/>
          <w:rFonts w:ascii="方正楷体简体" w:hAnsi="方正楷体简体" w:eastAsia="方正楷体简体" w:cs="方正楷体简体"/>
        </w:rPr>
        <w:t>（三）规划目标</w:t>
      </w:r>
      <w:r>
        <w:tab/>
      </w:r>
      <w:r>
        <w:fldChar w:fldCharType="begin"/>
      </w:r>
      <w:r>
        <w:instrText xml:space="preserve"> PAGEREF _Toc92799661 \h </w:instrText>
      </w:r>
      <w:r>
        <w:fldChar w:fldCharType="separate"/>
      </w:r>
      <w:r>
        <w:t>- 10 -</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"_Toc92799662" </w:instrText>
      </w:r>
      <w:r>
        <w:fldChar w:fldCharType="separate"/>
      </w:r>
      <w:r>
        <w:rPr>
          <w:rStyle w:val="28"/>
          <w:rFonts w:eastAsia="黑体"/>
          <w:shd w:val="clear" w:color="auto" w:fill="FFFFFF"/>
          <w:lang w:val="zh-CN"/>
        </w:rPr>
        <w:t>三、主要任务</w:t>
      </w:r>
      <w:r>
        <w:tab/>
      </w:r>
      <w:r>
        <w:fldChar w:fldCharType="begin"/>
      </w:r>
      <w:r>
        <w:instrText xml:space="preserve"> PAGEREF _Toc92799662 \h </w:instrText>
      </w:r>
      <w:r>
        <w:fldChar w:fldCharType="separate"/>
      </w:r>
      <w:r>
        <w:t>- 11 -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"_Toc92799663" </w:instrText>
      </w:r>
      <w:r>
        <w:fldChar w:fldCharType="separate"/>
      </w:r>
      <w:r>
        <w:rPr>
          <w:rStyle w:val="28"/>
          <w:rFonts w:ascii="方正楷体简体" w:hAnsi="方正楷体简体" w:eastAsia="方正楷体简体" w:cs="方正楷体简体"/>
        </w:rPr>
        <w:t>（一）完善安全生产责任体系</w:t>
      </w:r>
      <w:r>
        <w:tab/>
      </w:r>
      <w:r>
        <w:fldChar w:fldCharType="begin"/>
      </w:r>
      <w:r>
        <w:instrText xml:space="preserve"> PAGEREF _Toc92799663 \h </w:instrText>
      </w:r>
      <w:r>
        <w:fldChar w:fldCharType="separate"/>
      </w:r>
      <w:r>
        <w:t>- 11 -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"_Toc92799664" </w:instrText>
      </w:r>
      <w:r>
        <w:fldChar w:fldCharType="separate"/>
      </w:r>
      <w:r>
        <w:rPr>
          <w:rStyle w:val="28"/>
          <w:rFonts w:ascii="方正楷体简体" w:hAnsi="方正楷体简体" w:eastAsia="方正楷体简体" w:cs="方正楷体简体"/>
        </w:rPr>
        <w:t>（二）健全安全监管执法体系</w:t>
      </w:r>
      <w:r>
        <w:tab/>
      </w:r>
      <w:r>
        <w:fldChar w:fldCharType="begin"/>
      </w:r>
      <w:r>
        <w:instrText xml:space="preserve"> PAGEREF _Toc92799664 \h </w:instrText>
      </w:r>
      <w:r>
        <w:fldChar w:fldCharType="separate"/>
      </w:r>
      <w:r>
        <w:t>- 13 -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"_Toc92799665" </w:instrText>
      </w:r>
      <w:r>
        <w:fldChar w:fldCharType="separate"/>
      </w:r>
      <w:r>
        <w:rPr>
          <w:rStyle w:val="28"/>
          <w:rFonts w:ascii="方正楷体简体" w:hAnsi="方正楷体简体" w:eastAsia="方正楷体简体" w:cs="方正楷体简体"/>
        </w:rPr>
        <w:t>（三）加强双重预防机制建设</w:t>
      </w:r>
      <w:r>
        <w:tab/>
      </w:r>
      <w:r>
        <w:fldChar w:fldCharType="begin"/>
      </w:r>
      <w:r>
        <w:instrText xml:space="preserve"> PAGEREF _Toc92799665 \h </w:instrText>
      </w:r>
      <w:r>
        <w:fldChar w:fldCharType="separate"/>
      </w:r>
      <w:r>
        <w:t>- 16 -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"_Toc92799666" </w:instrText>
      </w:r>
      <w:r>
        <w:fldChar w:fldCharType="separate"/>
      </w:r>
      <w:r>
        <w:rPr>
          <w:rStyle w:val="28"/>
          <w:rFonts w:ascii="方正楷体简体" w:hAnsi="方正楷体简体" w:eastAsia="方正楷体简体" w:cs="方正楷体简体"/>
        </w:rPr>
        <w:t>（四）深化重点行业安全整治</w:t>
      </w:r>
      <w:r>
        <w:tab/>
      </w:r>
      <w:r>
        <w:fldChar w:fldCharType="begin"/>
      </w:r>
      <w:r>
        <w:instrText xml:space="preserve"> PAGEREF _Toc92799666 \h </w:instrText>
      </w:r>
      <w:r>
        <w:fldChar w:fldCharType="separate"/>
      </w:r>
      <w:r>
        <w:t>- 18 -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"_Toc92799667" </w:instrText>
      </w:r>
      <w:r>
        <w:fldChar w:fldCharType="separate"/>
      </w:r>
      <w:r>
        <w:rPr>
          <w:rStyle w:val="28"/>
          <w:rFonts w:ascii="方正楷体简体" w:hAnsi="方正楷体简体" w:eastAsia="方正楷体简体" w:cs="方正楷体简体"/>
        </w:rPr>
        <w:t>（五）提升应急救援处置效能</w:t>
      </w:r>
      <w:r>
        <w:tab/>
      </w:r>
      <w:r>
        <w:fldChar w:fldCharType="begin"/>
      </w:r>
      <w:r>
        <w:instrText xml:space="preserve"> PAGEREF _Toc92799667 \h </w:instrText>
      </w:r>
      <w:r>
        <w:fldChar w:fldCharType="separate"/>
      </w:r>
      <w:r>
        <w:t>- 28 -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"_Toc92799668" </w:instrText>
      </w:r>
      <w:r>
        <w:fldChar w:fldCharType="separate"/>
      </w:r>
      <w:r>
        <w:rPr>
          <w:rStyle w:val="28"/>
          <w:rFonts w:ascii="方正楷体简体" w:hAnsi="方正楷体简体" w:eastAsia="方正楷体简体" w:cs="方正楷体简体"/>
        </w:rPr>
        <w:t>（六）强化安全科技支撑能力</w:t>
      </w:r>
      <w:r>
        <w:tab/>
      </w:r>
      <w:r>
        <w:fldChar w:fldCharType="begin"/>
      </w:r>
      <w:r>
        <w:instrText xml:space="preserve"> PAGEREF _Toc92799668 \h </w:instrText>
      </w:r>
      <w:r>
        <w:fldChar w:fldCharType="separate"/>
      </w:r>
      <w:r>
        <w:t>- 30 -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"_Toc92799669" </w:instrText>
      </w:r>
      <w:r>
        <w:fldChar w:fldCharType="separate"/>
      </w:r>
      <w:r>
        <w:rPr>
          <w:rStyle w:val="28"/>
          <w:rFonts w:ascii="方正楷体简体" w:hAnsi="方正楷体简体" w:eastAsia="方正楷体简体" w:cs="方正楷体简体"/>
        </w:rPr>
        <w:t>（七）打造安全共建共治格局</w:t>
      </w:r>
      <w:r>
        <w:tab/>
      </w:r>
      <w:r>
        <w:fldChar w:fldCharType="begin"/>
      </w:r>
      <w:r>
        <w:instrText xml:space="preserve"> PAGEREF _Toc92799669 \h </w:instrText>
      </w:r>
      <w:r>
        <w:fldChar w:fldCharType="separate"/>
      </w:r>
      <w:r>
        <w:t>- 33 -</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"_Toc92799670" </w:instrText>
      </w:r>
      <w:r>
        <w:fldChar w:fldCharType="separate"/>
      </w:r>
      <w:r>
        <w:rPr>
          <w:rStyle w:val="28"/>
          <w:rFonts w:eastAsia="黑体"/>
          <w:shd w:val="clear" w:color="auto" w:fill="FFFFFF"/>
          <w:lang w:val="zh-CN"/>
        </w:rPr>
        <w:t>四、重点工程</w:t>
      </w:r>
      <w:r>
        <w:tab/>
      </w:r>
      <w:r>
        <w:fldChar w:fldCharType="begin"/>
      </w:r>
      <w:r>
        <w:instrText xml:space="preserve"> PAGEREF _Toc92799670 \h </w:instrText>
      </w:r>
      <w:r>
        <w:fldChar w:fldCharType="separate"/>
      </w:r>
      <w:r>
        <w:t>- 34 -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"_Toc92799671" </w:instrText>
      </w:r>
      <w:r>
        <w:fldChar w:fldCharType="separate"/>
      </w:r>
      <w:r>
        <w:rPr>
          <w:rStyle w:val="28"/>
          <w:rFonts w:ascii="方正楷体简体" w:hAnsi="方正楷体简体" w:eastAsia="方正楷体简体" w:cs="方正楷体简体"/>
        </w:rPr>
        <w:t>（一）危险化学品风险防控能力提升工程</w:t>
      </w:r>
      <w:r>
        <w:tab/>
      </w:r>
      <w:r>
        <w:fldChar w:fldCharType="begin"/>
      </w:r>
      <w:r>
        <w:instrText xml:space="preserve"> PAGEREF _Toc92799671 \h </w:instrText>
      </w:r>
      <w:r>
        <w:fldChar w:fldCharType="separate"/>
      </w:r>
      <w:r>
        <w:t>- 34 -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"_Toc92799672" </w:instrText>
      </w:r>
      <w:r>
        <w:fldChar w:fldCharType="separate"/>
      </w:r>
      <w:r>
        <w:rPr>
          <w:rStyle w:val="28"/>
          <w:rFonts w:ascii="方正楷体简体" w:hAnsi="方正楷体简体" w:eastAsia="方正楷体简体" w:cs="方正楷体简体"/>
        </w:rPr>
        <w:t>（二）矿山安全基础能力夯实工程</w:t>
      </w:r>
      <w:r>
        <w:tab/>
      </w:r>
      <w:r>
        <w:fldChar w:fldCharType="begin"/>
      </w:r>
      <w:r>
        <w:instrText xml:space="preserve"> PAGEREF _Toc92799672 \h </w:instrText>
      </w:r>
      <w:r>
        <w:fldChar w:fldCharType="separate"/>
      </w:r>
      <w:r>
        <w:t>- 35 -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"_Toc92799673" </w:instrText>
      </w:r>
      <w:r>
        <w:fldChar w:fldCharType="separate"/>
      </w:r>
      <w:r>
        <w:rPr>
          <w:rStyle w:val="28"/>
          <w:rFonts w:ascii="方正楷体简体" w:hAnsi="方正楷体简体" w:eastAsia="方正楷体简体" w:cs="方正楷体简体"/>
        </w:rPr>
        <w:t>（三）公路安全生命防护和危桥危隧改造治理工程</w:t>
      </w:r>
      <w:r>
        <w:tab/>
      </w:r>
      <w:r>
        <w:fldChar w:fldCharType="begin"/>
      </w:r>
      <w:r>
        <w:instrText xml:space="preserve"> PAGEREF _Toc92799673 \h </w:instrText>
      </w:r>
      <w:r>
        <w:fldChar w:fldCharType="separate"/>
      </w:r>
      <w:r>
        <w:t>- 36 -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"_Toc92799674" </w:instrText>
      </w:r>
      <w:r>
        <w:fldChar w:fldCharType="separate"/>
      </w:r>
      <w:r>
        <w:rPr>
          <w:rStyle w:val="28"/>
          <w:rFonts w:ascii="方正楷体简体" w:hAnsi="方正楷体简体" w:eastAsia="方正楷体简体" w:cs="方正楷体简体"/>
        </w:rPr>
        <w:t>（四）安全监管执法能力提升工程</w:t>
      </w:r>
      <w:r>
        <w:tab/>
      </w:r>
      <w:r>
        <w:fldChar w:fldCharType="begin"/>
      </w:r>
      <w:r>
        <w:instrText xml:space="preserve"> PAGEREF _Toc92799674 \h </w:instrText>
      </w:r>
      <w:r>
        <w:fldChar w:fldCharType="separate"/>
      </w:r>
      <w:r>
        <w:t>- 37 -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"_Toc92799675" </w:instrText>
      </w:r>
      <w:r>
        <w:fldChar w:fldCharType="separate"/>
      </w:r>
      <w:r>
        <w:rPr>
          <w:rStyle w:val="28"/>
          <w:rFonts w:ascii="方正楷体简体" w:hAnsi="方正楷体简体" w:eastAsia="方正楷体简体" w:cs="方正楷体简体"/>
        </w:rPr>
        <w:t>（五）应急救援能力提升工程</w:t>
      </w:r>
      <w:r>
        <w:tab/>
      </w:r>
      <w:r>
        <w:fldChar w:fldCharType="begin"/>
      </w:r>
      <w:r>
        <w:instrText xml:space="preserve"> PAGEREF _Toc92799675 \h </w:instrText>
      </w:r>
      <w:r>
        <w:fldChar w:fldCharType="separate"/>
      </w:r>
      <w:r>
        <w:t>- 37 -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"_Toc92799676" </w:instrText>
      </w:r>
      <w:r>
        <w:fldChar w:fldCharType="separate"/>
      </w:r>
      <w:r>
        <w:rPr>
          <w:rStyle w:val="28"/>
          <w:rFonts w:ascii="方正楷体简体" w:hAnsi="方正楷体简体" w:eastAsia="方正楷体简体" w:cs="方正楷体简体"/>
        </w:rPr>
        <w:t>（六）安全教育实训能力提升工程</w:t>
      </w:r>
      <w:r>
        <w:tab/>
      </w:r>
      <w:r>
        <w:fldChar w:fldCharType="begin"/>
      </w:r>
      <w:r>
        <w:instrText xml:space="preserve"> PAGEREF _Toc92799676 \h </w:instrText>
      </w:r>
      <w:r>
        <w:fldChar w:fldCharType="separate"/>
      </w:r>
      <w:r>
        <w:t>- 37 -</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"_Toc92799677" </w:instrText>
      </w:r>
      <w:r>
        <w:fldChar w:fldCharType="separate"/>
      </w:r>
      <w:r>
        <w:rPr>
          <w:rStyle w:val="28"/>
          <w:rFonts w:eastAsia="黑体"/>
          <w:shd w:val="clear" w:color="auto" w:fill="FFFFFF"/>
          <w:lang w:val="zh-CN"/>
        </w:rPr>
        <w:t>五、保障措施</w:t>
      </w:r>
      <w:r>
        <w:tab/>
      </w:r>
      <w:r>
        <w:fldChar w:fldCharType="begin"/>
      </w:r>
      <w:r>
        <w:instrText xml:space="preserve"> PAGEREF _Toc92799677 \h </w:instrText>
      </w:r>
      <w:r>
        <w:fldChar w:fldCharType="separate"/>
      </w:r>
      <w:r>
        <w:t>- 38 -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"_Toc92799678" </w:instrText>
      </w:r>
      <w:r>
        <w:fldChar w:fldCharType="separate"/>
      </w:r>
      <w:r>
        <w:rPr>
          <w:rStyle w:val="28"/>
          <w:rFonts w:ascii="方正楷体简体" w:hAnsi="方正楷体简体" w:eastAsia="方正楷体简体" w:cs="方正楷体简体"/>
        </w:rPr>
        <w:t>（一）加强组织领导</w:t>
      </w:r>
      <w:r>
        <w:tab/>
      </w:r>
      <w:r>
        <w:fldChar w:fldCharType="begin"/>
      </w:r>
      <w:r>
        <w:instrText xml:space="preserve"> PAGEREF _Toc92799678 \h </w:instrText>
      </w:r>
      <w:r>
        <w:fldChar w:fldCharType="separate"/>
      </w:r>
      <w:r>
        <w:t>- 38 -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"_Toc92799679" </w:instrText>
      </w:r>
      <w:r>
        <w:fldChar w:fldCharType="separate"/>
      </w:r>
      <w:r>
        <w:rPr>
          <w:rStyle w:val="28"/>
          <w:rFonts w:ascii="方正楷体简体" w:hAnsi="方正楷体简体" w:eastAsia="方正楷体简体" w:cs="方正楷体简体"/>
        </w:rPr>
        <w:t>（二）加大政策支持</w:t>
      </w:r>
      <w:r>
        <w:tab/>
      </w:r>
      <w:r>
        <w:fldChar w:fldCharType="begin"/>
      </w:r>
      <w:r>
        <w:instrText xml:space="preserve"> PAGEREF _Toc92799679 \h </w:instrText>
      </w:r>
      <w:r>
        <w:fldChar w:fldCharType="separate"/>
      </w:r>
      <w:r>
        <w:t>- 38 -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"_Toc92799680" </w:instrText>
      </w:r>
      <w:r>
        <w:fldChar w:fldCharType="separate"/>
      </w:r>
      <w:r>
        <w:rPr>
          <w:rStyle w:val="28"/>
          <w:rFonts w:ascii="方正楷体简体" w:hAnsi="方正楷体简体" w:eastAsia="方正楷体简体" w:cs="方正楷体简体"/>
        </w:rPr>
        <w:t>（三）强化示范引领</w:t>
      </w:r>
      <w:r>
        <w:tab/>
      </w:r>
      <w:r>
        <w:fldChar w:fldCharType="begin"/>
      </w:r>
      <w:r>
        <w:instrText xml:space="preserve"> PAGEREF _Toc92799680 \h </w:instrText>
      </w:r>
      <w:r>
        <w:fldChar w:fldCharType="separate"/>
      </w:r>
      <w:r>
        <w:t>- 39 -</w:t>
      </w:r>
      <w:r>
        <w:fldChar w:fldCharType="end"/>
      </w:r>
      <w:r>
        <w:fldChar w:fldCharType="end"/>
      </w:r>
    </w:p>
    <w:p>
      <w:pPr>
        <w:pStyle w:val="21"/>
        <w:tabs>
          <w:tab w:val="right" w:leader="dot" w:pos="8296"/>
        </w:tabs>
        <w:rPr>
          <w:rFonts w:asciiTheme="minorHAnsi" w:hAnsiTheme="minorHAnsi" w:eastAsiaTheme="minorEastAsia" w:cstheme="minorBidi"/>
        </w:rPr>
      </w:pPr>
      <w:r>
        <w:fldChar w:fldCharType="begin"/>
      </w:r>
      <w:r>
        <w:instrText xml:space="preserve"> HYPERLINK \l "_Toc92799681" </w:instrText>
      </w:r>
      <w:r>
        <w:fldChar w:fldCharType="separate"/>
      </w:r>
      <w:r>
        <w:rPr>
          <w:rStyle w:val="28"/>
          <w:rFonts w:ascii="方正楷体简体" w:hAnsi="方正楷体简体" w:eastAsia="方正楷体简体" w:cs="方正楷体简体"/>
        </w:rPr>
        <w:t>（四）严格考核评估</w:t>
      </w:r>
      <w:r>
        <w:tab/>
      </w:r>
      <w:r>
        <w:fldChar w:fldCharType="begin"/>
      </w:r>
      <w:r>
        <w:instrText xml:space="preserve"> PAGEREF _Toc92799681 \h </w:instrText>
      </w:r>
      <w:r>
        <w:fldChar w:fldCharType="separate"/>
      </w:r>
      <w:r>
        <w:t>- 39 -</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"_Toc92799682" </w:instrText>
      </w:r>
      <w:r>
        <w:fldChar w:fldCharType="separate"/>
      </w:r>
      <w:r>
        <w:rPr>
          <w:rStyle w:val="28"/>
          <w:rFonts w:ascii="方正小标宋简体" w:hAnsi="方正小标宋简体" w:eastAsia="方正小标宋简体" w:cs="方正小标宋简体"/>
        </w:rPr>
        <w:t>名词解释</w:t>
      </w:r>
      <w:r>
        <w:tab/>
      </w:r>
      <w:r>
        <w:fldChar w:fldCharType="begin"/>
      </w:r>
      <w:r>
        <w:instrText xml:space="preserve"> PAGEREF _Toc92799682 \h </w:instrText>
      </w:r>
      <w:r>
        <w:fldChar w:fldCharType="separate"/>
      </w:r>
      <w:r>
        <w:t>- 40 -</w:t>
      </w:r>
      <w:r>
        <w:fldChar w:fldCharType="end"/>
      </w:r>
      <w:r>
        <w:fldChar w:fldCharType="end"/>
      </w:r>
    </w:p>
    <w:p>
      <w:pPr>
        <w:spacing w:line="420" w:lineRule="exact"/>
        <w:rPr>
          <w:rFonts w:ascii="仿宋" w:hAnsi="仿宋" w:eastAsia="仿宋" w:cs="仿宋"/>
          <w:sz w:val="24"/>
          <w:szCs w:val="24"/>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bCs/>
          <w:sz w:val="24"/>
          <w:szCs w:val="24"/>
          <w:lang w:val="zh-CN"/>
        </w:rPr>
        <w:fldChar w:fldCharType="end"/>
      </w:r>
      <w:bookmarkStart w:id="40" w:name="_GoBack"/>
      <w:bookmarkEnd w:id="40"/>
    </w:p>
    <w:p>
      <w:pPr>
        <w:spacing w:line="600" w:lineRule="exact"/>
        <w:jc w:val="center"/>
        <w:outlineLvl w:val="0"/>
        <w:rPr>
          <w:rFonts w:ascii="黑体" w:hAnsi="黑体" w:eastAsia="黑体"/>
          <w:sz w:val="32"/>
          <w:szCs w:val="32"/>
        </w:rPr>
      </w:pPr>
      <w:bookmarkStart w:id="1" w:name="_Toc92799654"/>
      <w:bookmarkStart w:id="2" w:name="_Toc427531961"/>
      <w:r>
        <w:rPr>
          <w:rFonts w:hint="eastAsia" w:ascii="黑体" w:hAnsi="黑体" w:eastAsia="黑体"/>
          <w:sz w:val="32"/>
          <w:szCs w:val="32"/>
        </w:rPr>
        <w:t>前  言</w:t>
      </w:r>
      <w:bookmarkEnd w:id="1"/>
    </w:p>
    <w:p>
      <w:pPr>
        <w:spacing w:line="600" w:lineRule="exact"/>
        <w:ind w:firstLine="640" w:firstLineChars="200"/>
        <w:rPr>
          <w:rFonts w:ascii="仿宋_GB2312" w:hAnsi="方正仿宋_GBK" w:eastAsia="仿宋_GB2312" w:cs="仿宋"/>
          <w:kern w:val="0"/>
          <w:sz w:val="32"/>
          <w:szCs w:val="32"/>
        </w:rPr>
      </w:pPr>
    </w:p>
    <w:p>
      <w:pPr>
        <w:spacing w:line="600" w:lineRule="exact"/>
        <w:ind w:firstLine="640" w:firstLineChars="200"/>
        <w:rPr>
          <w:rFonts w:ascii="仿宋_GB2312" w:hAnsi="方正仿宋_GBK" w:eastAsia="仿宋_GB2312" w:cs="仿宋"/>
          <w:kern w:val="0"/>
          <w:sz w:val="32"/>
          <w:szCs w:val="32"/>
        </w:rPr>
      </w:pPr>
      <w:r>
        <w:rPr>
          <w:rFonts w:hint="eastAsia" w:ascii="仿宋_GB2312" w:hAnsi="方正仿宋_GBK" w:eastAsia="仿宋_GB2312" w:cs="仿宋"/>
          <w:kern w:val="0"/>
          <w:sz w:val="32"/>
          <w:szCs w:val="32"/>
        </w:rPr>
        <w:t>安全生产是建设平安中国、增进民生福祉的重要内容，是以人民为中心发展思想的具体体现。“十四五”时期，是我国全面建设社会主义现代化国家、向第二个百年奋斗目标进军的新发展阶段，也是我省高质量发展的关键时期。科学编制我省“十四五”安全生产规划，对推进应急管理体系和能力现代化，全面提高防范化解重大安全风险能力，确保全面建设社会主义现代化新征程开好局、起好步至关重要。</w:t>
      </w:r>
    </w:p>
    <w:p>
      <w:pPr>
        <w:spacing w:line="600" w:lineRule="exact"/>
        <w:ind w:firstLine="640" w:firstLineChars="200"/>
        <w:rPr>
          <w:rFonts w:ascii="仿宋_GB2312" w:hAnsi="方正仿宋_GBK" w:eastAsia="仿宋_GB2312" w:cs="仿宋"/>
          <w:kern w:val="0"/>
          <w:sz w:val="32"/>
          <w:szCs w:val="32"/>
        </w:rPr>
      </w:pPr>
      <w:r>
        <w:rPr>
          <w:rFonts w:hint="eastAsia" w:ascii="仿宋_GB2312" w:hAnsi="方正仿宋_GBK" w:eastAsia="仿宋_GB2312" w:cs="仿宋"/>
          <w:kern w:val="0"/>
          <w:sz w:val="32"/>
          <w:szCs w:val="32"/>
        </w:rPr>
        <w:t>为贯彻落实党中央、国务院和省委、省政府关于加强安全生产工作的一系列重大决策部署，准确把握安全生产新形势、新任务、新要求，根据《中华人民共和国安全生产法》《云南省安全生产条例》《中共云南省委关于制定云南省国民经济和社会发展第十四个五年规划和二</w:t>
      </w:r>
      <w:r>
        <w:rPr>
          <w:rFonts w:hint="eastAsia" w:ascii="微软雅黑" w:hAnsi="微软雅黑" w:eastAsia="微软雅黑" w:cs="微软雅黑"/>
          <w:kern w:val="0"/>
          <w:sz w:val="32"/>
          <w:szCs w:val="32"/>
        </w:rPr>
        <w:t>〇</w:t>
      </w:r>
      <w:r>
        <w:rPr>
          <w:rFonts w:hint="eastAsia" w:ascii="仿宋_GB2312" w:hAnsi="方正仿宋_GBK" w:eastAsia="仿宋_GB2312" w:cs="仿宋_GB2312"/>
          <w:kern w:val="0"/>
          <w:sz w:val="32"/>
          <w:szCs w:val="32"/>
        </w:rPr>
        <w:t>三五年远景目标的建议》《云南省国民经济和社会发展第十四个五年规划和二</w:t>
      </w:r>
      <w:r>
        <w:rPr>
          <w:rFonts w:hint="eastAsia" w:ascii="微软雅黑" w:hAnsi="微软雅黑" w:eastAsia="微软雅黑" w:cs="微软雅黑"/>
          <w:kern w:val="0"/>
          <w:sz w:val="32"/>
          <w:szCs w:val="32"/>
        </w:rPr>
        <w:t>〇</w:t>
      </w:r>
      <w:r>
        <w:rPr>
          <w:rFonts w:hint="eastAsia" w:ascii="仿宋_GB2312" w:hAnsi="方正仿宋_GBK" w:eastAsia="仿宋_GB2312" w:cs="仿宋_GB2312"/>
          <w:kern w:val="0"/>
          <w:sz w:val="32"/>
          <w:szCs w:val="32"/>
        </w:rPr>
        <w:t>三五年远景目标纲要》，编制我省“十四五”安全生产规划，提出</w:t>
      </w:r>
      <w:r>
        <w:rPr>
          <w:rFonts w:hint="eastAsia" w:ascii="仿宋_GB2312" w:hAnsi="方正仿宋_GBK" w:eastAsia="仿宋_GB2312" w:cs="仿宋"/>
          <w:kern w:val="0"/>
          <w:sz w:val="32"/>
          <w:szCs w:val="32"/>
        </w:rPr>
        <w:t>2021年至2025年全省安全生产工作的指导思想、发展目标、主要任务和重点工程。</w:t>
      </w:r>
    </w:p>
    <w:p>
      <w:pPr>
        <w:spacing w:line="600" w:lineRule="exact"/>
        <w:ind w:firstLine="640" w:firstLineChars="200"/>
        <w:rPr>
          <w:rFonts w:ascii="方正仿宋_GBK" w:hAnsi="方正仿宋_GBK" w:eastAsia="方正仿宋_GBK" w:cs="仿宋"/>
          <w:kern w:val="0"/>
          <w:sz w:val="32"/>
          <w:szCs w:val="32"/>
        </w:rPr>
      </w:pPr>
      <w:r>
        <w:rPr>
          <w:rFonts w:hint="eastAsia" w:ascii="仿宋_GB2312" w:hAnsi="方正仿宋_GBK" w:eastAsia="仿宋_GB2312" w:cs="仿宋"/>
          <w:kern w:val="0"/>
          <w:sz w:val="32"/>
          <w:szCs w:val="32"/>
        </w:rPr>
        <w:t>本规划是指导我省“十四五”时期安全生产的战略性、纲领性、综合性规划，也是全省各级政府依法履行安全生产监管职责、制定实施年度工作计划和各项政策措施的重要依据。</w:t>
      </w:r>
    </w:p>
    <w:p>
      <w:pPr>
        <w:pStyle w:val="3"/>
        <w:spacing w:before="0" w:after="0" w:line="600" w:lineRule="exact"/>
        <w:ind w:left="420" w:leftChars="200" w:firstLine="320" w:firstLineChars="100"/>
        <w:rPr>
          <w:rFonts w:eastAsia="黑体"/>
          <w:b w:val="0"/>
          <w:sz w:val="32"/>
          <w:szCs w:val="32"/>
          <w:shd w:val="clear" w:color="auto" w:fill="FFFFFF"/>
          <w:lang w:val="zh-CN"/>
        </w:rPr>
      </w:pPr>
      <w:bookmarkStart w:id="3" w:name="_Toc92799655"/>
      <w:r>
        <w:rPr>
          <w:rFonts w:hint="eastAsia" w:eastAsia="黑体"/>
          <w:b w:val="0"/>
          <w:sz w:val="32"/>
          <w:szCs w:val="32"/>
          <w:shd w:val="clear" w:color="auto" w:fill="FFFFFF"/>
          <w:lang w:val="zh-CN"/>
        </w:rPr>
        <w:t>一、</w:t>
      </w:r>
      <w:bookmarkEnd w:id="2"/>
      <w:r>
        <w:rPr>
          <w:rFonts w:hint="eastAsia" w:eastAsia="黑体"/>
          <w:b w:val="0"/>
          <w:sz w:val="32"/>
          <w:szCs w:val="32"/>
          <w:shd w:val="clear" w:color="auto" w:fill="FFFFFF"/>
          <w:lang w:val="zh-CN"/>
        </w:rPr>
        <w:t>现状与形势</w:t>
      </w:r>
      <w:bookmarkEnd w:id="3"/>
    </w:p>
    <w:p>
      <w:pPr>
        <w:pStyle w:val="4"/>
        <w:spacing w:before="0" w:after="0" w:line="600" w:lineRule="exact"/>
        <w:ind w:left="573"/>
        <w:rPr>
          <w:rFonts w:ascii="方正楷体简体" w:hAnsi="方正楷体简体" w:eastAsia="方正楷体简体" w:cs="方正楷体简体"/>
          <w:b w:val="0"/>
          <w:bCs w:val="0"/>
          <w:szCs w:val="21"/>
        </w:rPr>
      </w:pPr>
      <w:bookmarkStart w:id="4" w:name="_Toc427531962"/>
      <w:bookmarkStart w:id="5" w:name="_Toc92799656"/>
      <w:r>
        <w:rPr>
          <w:rFonts w:hint="eastAsia" w:ascii="方正楷体简体" w:hAnsi="方正楷体简体" w:eastAsia="方正楷体简体" w:cs="方正楷体简体"/>
          <w:b w:val="0"/>
          <w:bCs w:val="0"/>
          <w:szCs w:val="21"/>
        </w:rPr>
        <w:t>（一）“十三五”期间工作成效</w:t>
      </w:r>
      <w:bookmarkEnd w:id="4"/>
      <w:bookmarkEnd w:id="5"/>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三五”期间，全省各级各有关部门坚持以习近平新时代中国特色社会主义思想为指引，全面落实省委省政府关于加强安全生产工作的决策部署，积极推进应急管理体系和能力现代化建设，率先在全国实施安全工程三年行动计划（2018—2020年），安全生产各项工作取得明显成效。</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安全生产监管体制机制建设取得新突破。出台了《云南省安全生产条例》《党政领导干部安全生产责任制实施细则》《云南省安全生产工作年度目标责任考核办法》《关于遏制重特大事故构建双重预防机制的实施意见》《关于推进安全生产领域改革发展的实施意见》《关于推进城市安全发展的实施意见》等一批安全生产法规、制度和规范性文件，进一步明确了党委、政府安全生产领导责任，完善和细化了各级各部门安全生产责任。</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监管执法和应急救援能力迈上新台阶。全省所有州（市）、县（市、区）和70个省级以上重点工业园区、开发区均设立了安全生产监管机构。“十三五”期间累计投入9323万元，为基层安全监管部门配备18662台（套）监管执法专业装备，有效改善了基层安全监管部门执法装备落后的状况。结合我省生产安全事故形势和应急救援力量建设的客观实际，整合组建16支国家级和省级安全生产应急救援队伍，有效提升煤矿、非煤矿山、危险化学品、烟花爆竹、油气管线、隧道等安全生产重点行业领域应急救援能力。</w:t>
      </w:r>
    </w:p>
    <w:p>
      <w:pPr>
        <w:spacing w:line="600" w:lineRule="exact"/>
        <w:ind w:firstLine="640" w:firstLineChars="200"/>
        <w:rPr>
          <w:rFonts w:ascii="仿宋_GB2312" w:hAnsi="仿宋" w:eastAsia="仿宋_GB2312" w:cs="仿宋"/>
          <w:kern w:val="0"/>
          <w:sz w:val="32"/>
          <w:szCs w:val="32"/>
        </w:rPr>
      </w:pPr>
      <w:r>
        <w:rPr>
          <w:rFonts w:hint="eastAsia" w:ascii="仿宋_GB2312" w:hAnsi="Times New Roman" w:eastAsia="仿宋_GB2312"/>
          <w:kern w:val="0"/>
          <w:sz w:val="32"/>
          <w:szCs w:val="32"/>
        </w:rPr>
        <w:t>重点行业领域安全整治取得新成果。扎实推进实施安全工程三年行动计划，持续开展煤矿、非煤矿山、危险化学品、道路交通、建筑施工、烟花爆竹、金属冶炼等重点行业领域安全生产专项整治。关闭退出煤矿490处，淘汰产能7022万吨/年。关闭非煤矿山2201座，完成33座尾矿库“病库”和72座“头顶库”治理，完成61座三等及以上尾矿库、8座开采深度800米及以上的地下矿山、9座采场边坡高度200米及以上的露天矿山、7座总堆置高度200米以上排土场的在线监测监控系统建设。关闭退出91户（套）危险化学品生产（储存）企业或部分生产装置，完成42户城镇人口密集区危险化学品生产企业和37户内部安全距离不足、工艺技术装备水平低的危险化学品企业整治搬迁和就地改造，完成5户重点监管危险化学品企业、21户乙醇生产企业、28户乙炔生产企业的自动化控制和安全仪表系统改造升级。深化涉氨制冷企业安全专项治理，彻底消除涉氨制冷企业两类重大事故隐患。摸清粉尘涉爆企业数量，开展粉尘涉爆重大事故隐患清零行动。组织专家对工贸行业进行高风险源辨识和隐患排查，形成“一报告、两清单、两分布图”。</w:t>
      </w:r>
      <w:r>
        <w:rPr>
          <w:rFonts w:hint="eastAsia" w:ascii="仿宋_GB2312" w:hAnsi="Times New Roman" w:eastAsia="仿宋_GB2312"/>
          <w:sz w:val="32"/>
          <w:szCs w:val="32"/>
        </w:rPr>
        <w:t>重点实施道路运输安全防范能力提升、路网管理安全保障能力提升等工程，完成公路安全生命防护工程12.35万公里。强化重点车辆信息化监管，完成“互联网+运政系统”和政府监管平台升级改造，班线客运安全闭环管理系统、包车客运安全闭环管理系统应用覆盖率达到100%。全省2.9万余辆“两客一危”营运车辆安装“五小工程”完成率达100%，不具备限速功能的客运车退出运输市场9565辆。</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安全科技支撑和安全文化建设取得新进展。坚持以防范重点行业领域重特大事故为突破口，加强关键技术与装备科技攻关，“十三五”期间列入国家重特大事故预防关键技术项目15项，列入省科技厅重点研发计划社会发展专项2项。开发应用安全生产风险分级管控和隐患排查治理“双控”系统、行政执法系统和高危行业企业远程数字化监测监控系统。开设了《安全365》《云岭安监》《安全发展论坛》《云南党政领导干部谈安全》等专栏，推进安全宣传“五进”活动，增强公众风险防范、安全意识、应急处置能力和自救互救能力。</w:t>
      </w:r>
    </w:p>
    <w:p>
      <w:pPr>
        <w:spacing w:line="6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生产安全事故防范控制取得新成效。“十三五”期间全省生产安全事故得到有效防范，较大以上生产安全事故得到有效遏制。与2015年比，2020年生产安全事故死亡人数下降36.5%，较大以上生产安全事故起数下降50%，亿元国内生产总值生产安全事故死亡率下降</w:t>
      </w:r>
      <w:r>
        <w:rPr>
          <w:rFonts w:ascii="仿宋_GB2312" w:hAnsi="Times New Roman" w:eastAsia="仿宋_GB2312"/>
          <w:kern w:val="0"/>
          <w:sz w:val="32"/>
          <w:szCs w:val="32"/>
        </w:rPr>
        <w:t>64.3%</w:t>
      </w:r>
      <w:r>
        <w:rPr>
          <w:rFonts w:hint="eastAsia" w:ascii="仿宋_GB2312" w:hAnsi="Times New Roman" w:eastAsia="仿宋_GB2312"/>
          <w:kern w:val="0"/>
          <w:sz w:val="32"/>
          <w:szCs w:val="32"/>
        </w:rPr>
        <w:t>，工矿商贸就业人员十万人生产安全事故死亡率下降22.3%，安全生产形势持续稳定向好。</w:t>
      </w:r>
    </w:p>
    <w:p>
      <w:pPr>
        <w:pStyle w:val="4"/>
        <w:spacing w:before="0" w:after="0" w:line="600" w:lineRule="exact"/>
        <w:ind w:left="573"/>
        <w:rPr>
          <w:rFonts w:ascii="方正楷体简体" w:hAnsi="方正楷体简体" w:eastAsia="方正楷体简体" w:cs="方正楷体简体"/>
          <w:b w:val="0"/>
          <w:bCs w:val="0"/>
          <w:szCs w:val="21"/>
        </w:rPr>
      </w:pPr>
      <w:bookmarkStart w:id="6" w:name="_Toc92799657"/>
      <w:r>
        <w:rPr>
          <w:rFonts w:hint="eastAsia" w:ascii="方正楷体简体" w:hAnsi="方正楷体简体" w:eastAsia="方正楷体简体" w:cs="方正楷体简体"/>
          <w:b w:val="0"/>
          <w:bCs w:val="0"/>
          <w:szCs w:val="21"/>
        </w:rPr>
        <w:t>（二）“十四五”时期面临形势</w:t>
      </w:r>
      <w:bookmarkEnd w:id="6"/>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1.存在的问题。一是企业安全生产基础仍然薄弱。企业“小、散、弱”状况还未根本改变，煤矿、非煤矿山、危险化学品、消防、建筑施工、道路交通等传统高危行业领域事故隐患仍然突出，部分企业主要负责人安全生产意识淡薄、安全管理机构和管理制度不健全、技术管理和现场管理薄弱、安全培训不到位、设备老化陈旧等问题依然存在。</w:t>
      </w:r>
      <w:r>
        <w:rPr>
          <w:rFonts w:hint="eastAsia" w:ascii="仿宋_GB2312" w:hAnsi="仿宋_GB2312" w:eastAsia="仿宋_GB2312" w:cs="仿宋_GB2312"/>
          <w:sz w:val="32"/>
          <w:szCs w:val="32"/>
        </w:rPr>
        <w:t>二是城市安全运行压力日趋增大。随着我省城乡机动化水平快速提升，交通出行方式发生深刻变革，新业态快速发展，风险多元分散凸显，但公路安全运行基础条件依然薄弱，</w:t>
      </w:r>
      <w:r>
        <w:rPr>
          <w:rFonts w:hint="eastAsia" w:ascii="仿宋_GB2312" w:hAnsi="仿宋" w:eastAsia="仿宋_GB2312" w:cs="仿宋"/>
          <w:kern w:val="0"/>
          <w:sz w:val="32"/>
          <w:szCs w:val="32"/>
        </w:rPr>
        <w:t>公路安全生命防护、危桥改造等任务依然十分艰巨。“城中村”、老旧小区、群租房、“三合一”等场所区域消防安全整体环境依然较差，乡镇农村公共消防服务和公共消防基础设施建设仍滞后于经济社会发展水平。城市管道、电力、污水垃圾和渣土处理等基础设施安全保障发展相对滞后，一些建成投入使用时间较长的老建筑、老设备逐步进入风险暴露的临界点。三是安全监管执法能力有待提升。机构改革后，州（市）、县（市、区）应急管理部门整合了10多个部门10余项工作职责，各县平均人数仅为18.4人，与原安全生产监督管理部门负责安全生产的15.7人相比，增加不到3人，职能职责扩大后，人员力量分散，特别是应急救援类和安全生产类等专业人才不足10%，人员数量、专业技术力量很难适应防范遏制各类生产安全事故的实际需要，在队伍、经费、车辆、装备保障等方面仍有很多困难。四是监管治理模式仍需改进。安全生产监管体制机制不完善，监管治理手段单一、水平不高，检查不深不细、整改不力、执法不严等问题依然存在，数字化监管能力亟待加强，全社会安全意识、法治意识不强等深层次问题没有根本改变。</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2.机遇与挑战。当前全省正加快推进新型工业化、信息化、城镇化和农业现代化，推进实施“一带一路”建设、长江经济带发展、西部大开发等国家重大发展战略，安全生产工作机遇与挑战交织，既要着力固根基、扬优势、补短板、强弱项，又要积极应对经济社会创新发展以及新型城镇化建设中的新挑战，安全生产工作任重道远。一是党中央、国务院和全省各级党委、政府高度重视安全生产工作，提出了一系列新的思想理论、政策措施和工作要求，凝聚全社会安全发展共识，为加快推进平安云南建设提供了有力的组织领导、思想保证和政策支持。二是抢抓数字经济发展重大历史机遇，全力筑牢安全生产防线，推进“工业互联网＋安全生产”建设，推进能源、交通、物流、水利、市政基础设施数字化升级改造，提升安全生产风险感知评估、监测预警和响应处置能力，为促进安全生产管理数字化转型赋能。三是聚焦八大重点产业、世界一流“三张牌”和万亿级千亿级现代化产业构建，加快淘汰落后工艺、技术和产能，推动企业设备更新和技术改造，为从根本上解决深层次、结构性安全生产问题创造了更加有利的条件。四是世界首个特高压混合直流工程、千万吨级炼油工程等一大批能源建设项目落户，中缅油气管道覆盖全省各州（市）的支线管道、世界一流“中国铝谷”和绿色硅精深加工基地亟待新建，新能源汽车项目、光伏电站建设、水电铝产业、页岩气开发等新技术新材料新能源领域迅猛发展，给安全风险防控提出新的挑战。五是构建以昆明为中心城市、以都市圈为核心、以城市群为主体形态、以县城为重要载体的新型城镇化发展格局，促进人口、建筑、物资、能源、技术、资本等要素高度聚集，安全风险不断汇聚叠加，给城市生产安全和运行安全保障提出更高的要求。</w:t>
      </w:r>
      <w:bookmarkStart w:id="7" w:name="_Toc427531966"/>
    </w:p>
    <w:p>
      <w:pPr>
        <w:pStyle w:val="3"/>
        <w:spacing w:before="0" w:after="0" w:line="600" w:lineRule="exact"/>
        <w:ind w:left="420" w:leftChars="200" w:firstLine="320" w:firstLineChars="100"/>
        <w:rPr>
          <w:rFonts w:hAnsi="黑体" w:eastAsia="黑体"/>
          <w:b w:val="0"/>
          <w:sz w:val="32"/>
          <w:szCs w:val="32"/>
        </w:rPr>
      </w:pPr>
      <w:bookmarkStart w:id="8" w:name="_Toc92799658"/>
      <w:r>
        <w:rPr>
          <w:rFonts w:hint="eastAsia" w:hAnsi="黑体" w:eastAsia="黑体"/>
          <w:b w:val="0"/>
          <w:sz w:val="32"/>
          <w:szCs w:val="32"/>
        </w:rPr>
        <w:t>二、指导思想、基本原则和规划目标</w:t>
      </w:r>
      <w:bookmarkEnd w:id="7"/>
      <w:bookmarkEnd w:id="8"/>
    </w:p>
    <w:p>
      <w:pPr>
        <w:pStyle w:val="4"/>
        <w:spacing w:before="0" w:after="0" w:line="600" w:lineRule="exact"/>
        <w:ind w:left="573"/>
        <w:rPr>
          <w:rFonts w:ascii="方正楷体简体" w:hAnsi="方正楷体简体" w:eastAsia="方正楷体简体" w:cs="方正楷体简体"/>
          <w:b w:val="0"/>
          <w:bCs w:val="0"/>
          <w:szCs w:val="21"/>
        </w:rPr>
      </w:pPr>
      <w:bookmarkStart w:id="9" w:name="_Toc427531967"/>
      <w:bookmarkStart w:id="10" w:name="_Toc92799659"/>
      <w:r>
        <w:rPr>
          <w:rFonts w:hint="eastAsia" w:ascii="方正楷体简体" w:hAnsi="方正楷体简体" w:eastAsia="方正楷体简体" w:cs="方正楷体简体"/>
          <w:b w:val="0"/>
          <w:bCs w:val="0"/>
          <w:szCs w:val="21"/>
        </w:rPr>
        <w:t>（一）指导思想</w:t>
      </w:r>
      <w:bookmarkEnd w:id="9"/>
      <w:bookmarkEnd w:id="10"/>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以习近平新时代中国特色社会主义思想为指引，全面贯彻党的十九大和十九届二中、三中、四中、五中、六中全会精神，深入贯彻落实习近平总书记关于安全生产重要论述，围绕我省“一个跨越”“三个定位”“五个着力”的发展要求，立足新发展阶段，贯彻新发展理念，融入新发展格局，坚持统筹发展和安全，以推动高质量发展为主题，以防范化解重大安全风险为主线，以落实责任为核心抓手，以改革创新为根本动力，以科技创新为重要支撑，以满足人民日益增长的美好生活需要为根本目的，着力化解存量风险、防范增量风险，着力解决重点行业领域瓶颈性、根源性、本质性安全问题，着力提高安全风险监测预警、监管执法、辅助指挥、应急救援实战、社会动员五种能力，深入推进安全生产治理体系和治理能力现代化，有效防范和坚决遏制重特大生产安全事故发生，努力提升人民群众的获得感、安全感和幸福感，为推动全省经济高质量发展，建设更高水平的平安云南提供坚实保障。</w:t>
      </w:r>
    </w:p>
    <w:p>
      <w:pPr>
        <w:pStyle w:val="4"/>
        <w:spacing w:before="0" w:after="0" w:line="640" w:lineRule="exact"/>
        <w:ind w:left="573"/>
        <w:rPr>
          <w:rFonts w:ascii="方正楷体简体" w:hAnsi="方正楷体简体" w:eastAsia="方正楷体简体" w:cs="方正楷体简体"/>
          <w:b w:val="0"/>
          <w:bCs w:val="0"/>
          <w:szCs w:val="21"/>
        </w:rPr>
      </w:pPr>
      <w:bookmarkStart w:id="11" w:name="_Toc92799660"/>
      <w:r>
        <w:rPr>
          <w:rFonts w:hint="eastAsia" w:ascii="方正楷体简体" w:hAnsi="方正楷体简体" w:eastAsia="方正楷体简体" w:cs="方正楷体简体"/>
          <w:b w:val="0"/>
          <w:bCs w:val="0"/>
          <w:szCs w:val="21"/>
        </w:rPr>
        <w:t>（二）基本原则</w:t>
      </w:r>
      <w:bookmarkEnd w:id="11"/>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安全发展，标本兼治。坚持统筹发展和安全，把安全贯穿发展各领域全过程，实现发展质量、结构、规模、速度、效益、安全相统一。坚持立足当前与着眼长远相结合，切实转变发展方式，优化安全格局，严格安全准入，从源头上消除影响和威胁安全发展的行为和方式。</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综合防控，系统施治。坚持目标导向和问题导向，针对重大安全风险挑战，统筹运用行政审批、监管执法、监督问责、投入保障、诚信惩戒等多种手段，着力固根基、补短板、强弱项，系统推进安全风险防控和隐患治理。</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改革创新，强化法治。坚持以人民为中心，深化安全生产改革发展，加快形成系统完整、责权清晰、监管高效的安全生产治理体系。深入推进科学立法、严格执法、全民守法，筑牢安全生产屏障。</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恪尽职守，社会共治。盯紧党政领导干部“关键少数”，拧紧企业全员安全责任链条，构建更为严密的安全生产责任体系。加强和创新社会治理，大力弘扬安全文化，积极引导各方参与，构建企业负责、职工参与、政府监管、行业自律、社会监督的安全生产共建共治共享格局。</w:t>
      </w:r>
    </w:p>
    <w:p>
      <w:pPr>
        <w:pStyle w:val="4"/>
        <w:spacing w:before="0" w:after="0" w:line="640" w:lineRule="exact"/>
        <w:ind w:left="573"/>
        <w:rPr>
          <w:rFonts w:ascii="方正楷体简体" w:hAnsi="方正楷体简体" w:eastAsia="方正楷体简体" w:cs="方正楷体简体"/>
          <w:b w:val="0"/>
          <w:bCs w:val="0"/>
          <w:szCs w:val="21"/>
        </w:rPr>
      </w:pPr>
      <w:bookmarkStart w:id="12" w:name="_Toc427531968"/>
      <w:bookmarkStart w:id="13" w:name="_Toc92799661"/>
      <w:r>
        <w:rPr>
          <w:rFonts w:hint="eastAsia" w:ascii="方正楷体简体" w:hAnsi="方正楷体简体" w:eastAsia="方正楷体简体" w:cs="方正楷体简体"/>
          <w:b w:val="0"/>
          <w:bCs w:val="0"/>
          <w:szCs w:val="21"/>
        </w:rPr>
        <w:t>（三）规划目标</w:t>
      </w:r>
      <w:bookmarkEnd w:id="12"/>
      <w:bookmarkEnd w:id="13"/>
    </w:p>
    <w:p>
      <w:pPr>
        <w:spacing w:line="600" w:lineRule="exact"/>
        <w:ind w:firstLine="640" w:firstLineChars="200"/>
        <w:rPr>
          <w:rFonts w:ascii="仿宋_GB2312" w:hAnsi="仿宋" w:eastAsia="仿宋_GB2312" w:cs="仿宋"/>
          <w:kern w:val="0"/>
          <w:sz w:val="32"/>
          <w:szCs w:val="32"/>
        </w:rPr>
      </w:pPr>
      <w:bookmarkStart w:id="14" w:name="_Toc427531969"/>
      <w:r>
        <w:rPr>
          <w:rFonts w:hint="eastAsia" w:ascii="仿宋_GB2312" w:hAnsi="仿宋" w:eastAsia="仿宋_GB2312" w:cs="仿宋"/>
          <w:kern w:val="0"/>
          <w:sz w:val="32"/>
          <w:szCs w:val="32"/>
        </w:rPr>
        <w:t>到2025年，安全生产治理体系和治理能力现代化取得重大进展，安全风险防控体系基本建立，安全生产基层基础保障能力明显增强，安全生产形势趋稳向好，生产安全事故总量保持下降态势，危险化学品、矿山、建筑施工、消防、交通运输等行业领域较大以上事故得到有效遏制。</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到2035年，建立与基本实现社会主义现代化相适应的安全生产治理体系和治理能力，防范和遏制较大以上事故能力明显提升，全民安全文明素质全面提升，安全生产形势实现根本性好转，为建设民族团结进步示范区、生态文明建设排头兵、面向南亚东南亚辐射中心提供坚实稳固的安全保障。</w:t>
      </w:r>
    </w:p>
    <w:p>
      <w:pPr>
        <w:spacing w:line="600" w:lineRule="exact"/>
        <w:ind w:firstLine="640" w:firstLineChars="200"/>
        <w:rPr>
          <w:rFonts w:ascii="仿宋_GB2312" w:hAnsi="仿宋" w:eastAsia="仿宋_GB2312" w:cs="仿宋"/>
          <w:kern w:val="0"/>
          <w:sz w:val="32"/>
          <w:szCs w:val="32"/>
        </w:rPr>
      </w:pPr>
    </w:p>
    <w:p>
      <w:pPr>
        <w:spacing w:line="600" w:lineRule="exact"/>
        <w:ind w:firstLine="640" w:firstLineChars="200"/>
        <w:rPr>
          <w:rFonts w:ascii="仿宋_GB2312" w:hAnsi="仿宋" w:eastAsia="仿宋_GB2312" w:cs="仿宋"/>
          <w:kern w:val="0"/>
          <w:sz w:val="32"/>
          <w:szCs w:val="32"/>
        </w:rPr>
      </w:pPr>
    </w:p>
    <w:p>
      <w:pPr>
        <w:spacing w:line="600" w:lineRule="exact"/>
        <w:ind w:firstLine="640" w:firstLineChars="200"/>
        <w:rPr>
          <w:rFonts w:ascii="仿宋_GB2312" w:hAnsi="仿宋" w:eastAsia="仿宋_GB2312" w:cs="仿宋"/>
          <w:kern w:val="0"/>
          <w:sz w:val="32"/>
          <w:szCs w:val="32"/>
        </w:rPr>
      </w:pPr>
    </w:p>
    <w:tbl>
      <w:tblPr>
        <w:tblStyle w:val="31"/>
        <w:tblW w:w="86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5029"/>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8657" w:type="dxa"/>
            <w:gridSpan w:val="3"/>
            <w:vAlign w:val="center"/>
          </w:tcPr>
          <w:p>
            <w:pPr>
              <w:spacing w:line="560" w:lineRule="exact"/>
              <w:jc w:val="center"/>
              <w:rPr>
                <w:rFonts w:ascii="仿宋_GB2312" w:eastAsia="仿宋_GB2312"/>
                <w:sz w:val="28"/>
                <w:szCs w:val="28"/>
              </w:rPr>
            </w:pPr>
            <w:r>
              <w:rPr>
                <w:rFonts w:hint="eastAsia" w:ascii="方正楷体简体" w:hAnsi="方正楷体简体" w:eastAsia="方正楷体简体" w:cs="方正楷体简体"/>
                <w:kern w:val="0"/>
                <w:sz w:val="32"/>
                <w:szCs w:val="32"/>
              </w:rPr>
              <w:t>专栏1 “十四五”安全生产主要指标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76"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5029"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指标名称</w:t>
            </w:r>
          </w:p>
        </w:tc>
        <w:tc>
          <w:tcPr>
            <w:tcW w:w="2852"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目标</w:t>
            </w:r>
          </w:p>
          <w:p>
            <w:pPr>
              <w:pStyle w:val="2"/>
              <w:ind w:firstLine="0"/>
              <w:jc w:val="center"/>
            </w:pPr>
            <w:r>
              <w:rPr>
                <w:rFonts w:hint="eastAsia" w:ascii="仿宋" w:hAnsi="仿宋" w:eastAsia="仿宋" w:cs="仿宋"/>
                <w:sz w:val="22"/>
                <w:szCs w:val="22"/>
              </w:rPr>
              <w:t>（“十四五”平均数与“十三五”平均数相比）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76"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１</w:t>
            </w:r>
          </w:p>
        </w:tc>
        <w:tc>
          <w:tcPr>
            <w:tcW w:w="5029"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生产安全事故死亡人数</w:t>
            </w:r>
          </w:p>
        </w:tc>
        <w:tc>
          <w:tcPr>
            <w:tcW w:w="285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下降15%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76"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２</w:t>
            </w:r>
          </w:p>
        </w:tc>
        <w:tc>
          <w:tcPr>
            <w:tcW w:w="5029"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较大生产安全事故起数</w:t>
            </w:r>
          </w:p>
        </w:tc>
        <w:tc>
          <w:tcPr>
            <w:tcW w:w="285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下降20%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76"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３</w:t>
            </w:r>
          </w:p>
        </w:tc>
        <w:tc>
          <w:tcPr>
            <w:tcW w:w="5029"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亿元地区生产总值生产安全事故死亡率</w:t>
            </w:r>
          </w:p>
        </w:tc>
        <w:tc>
          <w:tcPr>
            <w:tcW w:w="285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下降33%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76"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４</w:t>
            </w:r>
          </w:p>
        </w:tc>
        <w:tc>
          <w:tcPr>
            <w:tcW w:w="5029"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工矿商贸就业人员十万人生产安全事故死亡率</w:t>
            </w:r>
          </w:p>
        </w:tc>
        <w:tc>
          <w:tcPr>
            <w:tcW w:w="285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下降</w:t>
            </w:r>
            <w:r>
              <w:rPr>
                <w:rFonts w:ascii="仿宋" w:hAnsi="仿宋" w:eastAsia="仿宋"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76"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5</w:t>
            </w:r>
          </w:p>
        </w:tc>
        <w:tc>
          <w:tcPr>
            <w:tcW w:w="5029"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煤矿百万吨死亡率</w:t>
            </w:r>
          </w:p>
        </w:tc>
        <w:tc>
          <w:tcPr>
            <w:tcW w:w="2852" w:type="dxa"/>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下降10%</w:t>
            </w:r>
          </w:p>
        </w:tc>
      </w:tr>
    </w:tbl>
    <w:p>
      <w:pPr>
        <w:pStyle w:val="3"/>
        <w:spacing w:before="0" w:after="0" w:line="600" w:lineRule="exact"/>
        <w:ind w:left="420" w:leftChars="200" w:firstLine="320" w:firstLineChars="100"/>
        <w:rPr>
          <w:rFonts w:eastAsia="黑体"/>
          <w:b w:val="0"/>
          <w:sz w:val="32"/>
          <w:szCs w:val="32"/>
          <w:shd w:val="clear" w:color="auto" w:fill="FFFFFF"/>
          <w:lang w:val="zh-CN"/>
        </w:rPr>
      </w:pPr>
      <w:bookmarkStart w:id="15" w:name="_Toc92799662"/>
      <w:r>
        <w:rPr>
          <w:rFonts w:hint="eastAsia" w:eastAsia="黑体"/>
          <w:b w:val="0"/>
          <w:sz w:val="32"/>
          <w:szCs w:val="32"/>
          <w:shd w:val="clear" w:color="auto" w:fill="FFFFFF"/>
          <w:lang w:val="zh-CN"/>
        </w:rPr>
        <w:t>三、</w:t>
      </w:r>
      <w:bookmarkEnd w:id="14"/>
      <w:r>
        <w:rPr>
          <w:rFonts w:hint="eastAsia" w:eastAsia="黑体"/>
          <w:b w:val="0"/>
          <w:sz w:val="32"/>
          <w:szCs w:val="32"/>
          <w:shd w:val="clear" w:color="auto" w:fill="FFFFFF"/>
          <w:lang w:val="zh-CN"/>
        </w:rPr>
        <w:t>主要任务</w:t>
      </w:r>
      <w:bookmarkEnd w:id="15"/>
    </w:p>
    <w:p>
      <w:pPr>
        <w:pStyle w:val="4"/>
        <w:spacing w:before="0" w:after="0" w:line="600" w:lineRule="exact"/>
        <w:ind w:left="573"/>
        <w:rPr>
          <w:rFonts w:ascii="方正楷体简体" w:hAnsi="方正楷体简体" w:eastAsia="方正楷体简体" w:cs="方正楷体简体"/>
          <w:b w:val="0"/>
          <w:bCs w:val="0"/>
          <w:szCs w:val="21"/>
        </w:rPr>
      </w:pPr>
      <w:bookmarkStart w:id="16" w:name="_Toc92799663"/>
      <w:r>
        <w:rPr>
          <w:rFonts w:hint="eastAsia" w:ascii="方正楷体简体" w:hAnsi="方正楷体简体" w:eastAsia="方正楷体简体" w:cs="方正楷体简体"/>
          <w:b w:val="0"/>
          <w:bCs w:val="0"/>
          <w:szCs w:val="21"/>
        </w:rPr>
        <w:t>（一）完善安全生产责任体系</w:t>
      </w:r>
      <w:bookmarkEnd w:id="16"/>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严格落实党政领导责任。将习近平总书记关于安全生产重要论述纳入各级党委学习的重要内容，树牢安全发展理念。按照“党政同责、一岗双责、齐抓共管、失职追责”的要求，完善各级党政领导干部安全生产职责清单和工作任务清单，明确各级党委政府主要负责人、班子其他成员的安全生产工作责任。落实党政领导安全生产工作述职和“第一责任人”履职报告制度，将履行安全生产职责情况纳入述职考核、督察巡查内容。加大安全生产巡查考核力度，完善安全生产警示、督办、约谈等制度。</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厘清部门安全监管责任。充分发挥安委会统筹协调作用，明确部门承担安委会办公室职责，压实安委会成员单位工作责任，健全安委会运行机制，形成安全生产监管工作合力。建立消防执法跨部门协作机制。严格按照“管行业必须管安全、管业务必须管安全、管生产经营必须管安全”的要求，督促指导负有安全生产监管职责部门建立完善安全生产权力清单和责任清单，厘清职责边界，推行“尽职免责”问责机制。进一步理顺农业农村、危险废物、油气输送管道、综合管廊、新型燃料、餐饮场所、特种设备目录范围外的其他危险设备、危险化学品车辆经停、未纳入施工许可管理的建筑施工等行业领域安全监管职责，消除监管盲区漏洞。建立绿色铝、绿色硅等新产业、新业态监管职责动态调整机制，及时填补行业领域安全监管职责空白。</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强化企业主体责任落实。严格落实企业主要负责人安全生产第一责任人的法定责任。推动企业建立完善从主要负责人到一线从业人员各岗位的责任事项、责任范围和考核标准，实现企业安全生产责任全员全岗位全覆盖、安全生产责任全过程可追溯。督促企业依法设置安全生产管理机构，配齐安全生产管理人员，按要求配足注册安全工程师从事安全管理，持续提升企业安全管理专业化、规范化水平。加强企业安全生产标准化建设，健全安全生产标准化工作体系和运行机制。严格落实企业安全风险分级管控制度和风险主动报告制度。严格执行安全生产费用提取管理使用制度，确保足额提取和投入使用。督促企业健全完善并严格执行安全教育培训制度和考核制度，加强从业人员的专项安全生产理论教学与实践技能培训和经常性教育培训，保证从业人员具备岗位安全生产和应急处置的基本知识和安全操作技能。完善和落实企业安全生产诚信、承诺公告、举报奖励、教育培训等制度，推动实施安全生产责任保险，推进安全生产诚信体系建设，建立完善企业失信惩戒和守信激励机制。</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严格安全目标责任考核。将安全生产工作纳入各地高质量发展绩效考核指标体系。严格落实安全生产目标责任考核，实行过程考核与结果考核相结合。建立完善安全生产巡查工作制度，加强对下级党委和政府的安全生产巡查，并将巡查结果作为地区党委和政府领导班子及有关领导干部考核、奖惩、使用的重要参考。建立党政领导干部安全生产述职评议制度，强化各级安委会对各地各部门安全生产职责落实情况的监督。完善安全生产绩效与履职评定、职务晋升、奖励惩处挂钩制度，严格落实安全生产“一票否决”和约谈、问责制度。建立事故暴露问题整改督办制度，加强对事故查处和责任追究落实情况的跟踪评估。</w:t>
      </w:r>
    </w:p>
    <w:p>
      <w:pPr>
        <w:pStyle w:val="4"/>
        <w:spacing w:before="0" w:after="0" w:line="600" w:lineRule="exact"/>
        <w:ind w:left="573"/>
        <w:rPr>
          <w:rFonts w:ascii="方正楷体简体" w:hAnsi="方正楷体简体" w:eastAsia="方正楷体简体" w:cs="方正楷体简体"/>
          <w:b w:val="0"/>
          <w:bCs w:val="0"/>
          <w:szCs w:val="21"/>
        </w:rPr>
      </w:pPr>
      <w:bookmarkStart w:id="17" w:name="_Toc92799664"/>
      <w:r>
        <w:rPr>
          <w:rFonts w:hint="eastAsia" w:ascii="方正楷体简体" w:hAnsi="方正楷体简体" w:eastAsia="方正楷体简体" w:cs="方正楷体简体"/>
          <w:b w:val="0"/>
          <w:bCs w:val="0"/>
          <w:szCs w:val="21"/>
        </w:rPr>
        <w:t>（二）健全安全监管执法体系</w:t>
      </w:r>
      <w:bookmarkEnd w:id="17"/>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完善安全法规标准。按照立法程序修订《云南省安全生产条例》，研究制定或修订与《云南省安全生产条例》配套的政府规章及规范性文件。加快氢能、页岩气等绿色能源产业和绿色铝、绿色硅等绿色制造业安全生产地方性标准制定出台。完善城市高层建筑、大型商业综合体、综合交通枢纽、隧道桥梁、管线管廊、道路交通、轨道交通、加油（气）站、燃气工程、排水防涝、垃圾填埋场、渣土受纳场、电力设施及电梯、大型游乐设施等地方标准。加强安全生产地方性法规规章和规范性文件的立改废释工作。开展安全生产规范性文件集中清理和专项审查，增强安全生产法制建设的系统性、可操作性。加强对安全生产执法检查、事故查处、行政执法案卷评查、典型执法案例等结果的运用，建立执法信息反馈、立法后评估与立法清理相结合的长效机制。</w:t>
      </w:r>
    </w:p>
    <w:tbl>
      <w:tblPr>
        <w:tblStyle w:val="32"/>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68" w:type="dxa"/>
          </w:tcPr>
          <w:p>
            <w:pPr>
              <w:spacing w:line="480" w:lineRule="exact"/>
              <w:jc w:val="both"/>
              <w:rPr>
                <w:rFonts w:ascii="仿宋_GB2312" w:eastAsia="仿宋_GB2312"/>
                <w:sz w:val="28"/>
                <w:szCs w:val="28"/>
              </w:rPr>
            </w:pPr>
            <w:r>
              <w:rPr>
                <w:rFonts w:hint="eastAsia" w:ascii="方正楷体简体" w:hAnsi="方正楷体简体" w:eastAsia="方正楷体简体" w:cs="方正楷体简体"/>
                <w:kern w:val="0"/>
                <w:sz w:val="32"/>
                <w:szCs w:val="32"/>
              </w:rPr>
              <w:t>专栏2 重点制定、修订的安全生产法规</w:t>
            </w:r>
            <w:r>
              <w:rPr>
                <w:rFonts w:hint="eastAsia" w:ascii="方正楷体简体" w:hAnsi="方正楷体简体" w:eastAsia="方正楷体简体" w:cs="方正楷体简体"/>
                <w:kern w:val="0"/>
                <w:sz w:val="32"/>
                <w:szCs w:val="32"/>
                <w:lang w:eastAsia="zh-CN"/>
              </w:rPr>
              <w:t>、规章</w:t>
            </w:r>
            <w:r>
              <w:rPr>
                <w:rFonts w:hint="eastAsia" w:ascii="方正楷体简体" w:hAnsi="方正楷体简体" w:eastAsia="方正楷体简体" w:cs="方正楷体简体"/>
                <w:kern w:val="0"/>
                <w:sz w:val="32"/>
                <w:szCs w:val="32"/>
              </w:rPr>
              <w:t>和规范性文件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68" w:type="dxa"/>
          </w:tcPr>
          <w:p>
            <w:pPr>
              <w:spacing w:line="480" w:lineRule="exact"/>
              <w:ind w:left="210" w:leftChars="100" w:firstLine="560" w:firstLineChars="200"/>
              <w:rPr>
                <w:rFonts w:ascii="仿宋" w:hAnsi="仿宋" w:eastAsia="仿宋" w:cs="仿宋"/>
                <w:sz w:val="28"/>
                <w:szCs w:val="28"/>
              </w:rPr>
            </w:pPr>
            <w:r>
              <w:rPr>
                <w:rFonts w:hint="eastAsia" w:ascii="仿宋" w:hAnsi="仿宋" w:eastAsia="仿宋" w:cs="仿宋"/>
                <w:sz w:val="28"/>
                <w:szCs w:val="28"/>
              </w:rPr>
              <w:t>1.《云南省安全生产条例》</w:t>
            </w:r>
          </w:p>
          <w:p>
            <w:pPr>
              <w:spacing w:line="480" w:lineRule="exact"/>
              <w:ind w:left="210" w:leftChars="100" w:firstLine="560" w:firstLineChars="200"/>
              <w:rPr>
                <w:rFonts w:ascii="仿宋" w:hAnsi="仿宋" w:eastAsia="仿宋" w:cs="仿宋"/>
                <w:sz w:val="28"/>
                <w:szCs w:val="28"/>
              </w:rPr>
            </w:pPr>
            <w:r>
              <w:rPr>
                <w:rFonts w:hint="eastAsia" w:ascii="仿宋" w:hAnsi="仿宋" w:eastAsia="仿宋" w:cs="仿宋"/>
                <w:sz w:val="28"/>
                <w:szCs w:val="28"/>
              </w:rPr>
              <w:t>2.《云南省生产经营单位安全生产主体责任规定》</w:t>
            </w:r>
          </w:p>
          <w:p>
            <w:pPr>
              <w:spacing w:line="480" w:lineRule="exact"/>
              <w:ind w:left="210" w:leftChars="100"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《云南省生产安全事故应急办法》</w:t>
            </w:r>
          </w:p>
          <w:p>
            <w:pPr>
              <w:spacing w:line="480" w:lineRule="exact"/>
              <w:ind w:left="210" w:leftChars="100" w:firstLine="560" w:firstLineChars="200"/>
              <w:rPr>
                <w:rFonts w:ascii="仿宋" w:hAnsi="仿宋" w:eastAsia="仿宋" w:cs="仿宋"/>
                <w:sz w:val="28"/>
                <w:szCs w:val="28"/>
              </w:rPr>
            </w:pPr>
            <w:r>
              <w:rPr>
                <w:rFonts w:hint="eastAsia" w:ascii="仿宋" w:hAnsi="仿宋" w:eastAsia="仿宋" w:cs="仿宋"/>
                <w:sz w:val="28"/>
                <w:szCs w:val="28"/>
              </w:rPr>
              <w:t>4.《云南省应急救援队伍管理办法》</w:t>
            </w:r>
          </w:p>
          <w:p>
            <w:pPr>
              <w:spacing w:line="480" w:lineRule="exact"/>
              <w:ind w:left="210" w:leftChars="100" w:firstLine="560" w:firstLineChars="200"/>
              <w:rPr>
                <w:rFonts w:ascii="仿宋" w:hAnsi="仿宋" w:eastAsia="仿宋" w:cs="仿宋"/>
                <w:sz w:val="28"/>
                <w:szCs w:val="28"/>
              </w:rPr>
            </w:pPr>
            <w:r>
              <w:rPr>
                <w:rFonts w:hint="eastAsia" w:ascii="仿宋" w:hAnsi="仿宋" w:eastAsia="仿宋" w:cs="仿宋"/>
                <w:sz w:val="28"/>
                <w:szCs w:val="28"/>
              </w:rPr>
              <w:t>5.《云南省省级安全生产应急救援队伍管理办法》</w:t>
            </w:r>
          </w:p>
          <w:p>
            <w:pPr>
              <w:spacing w:line="480" w:lineRule="exact"/>
              <w:ind w:left="768" w:leftChars="366" w:firstLine="0" w:firstLineChars="0"/>
            </w:pPr>
            <w:r>
              <w:rPr>
                <w:rFonts w:hint="eastAsia" w:ascii="仿宋" w:hAnsi="仿宋" w:eastAsia="仿宋" w:cs="仿宋"/>
                <w:sz w:val="28"/>
                <w:szCs w:val="28"/>
              </w:rPr>
              <w:t>6.《云南省安全评价检测检验机构管理实施办法》</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7.</w:t>
            </w:r>
            <w:r>
              <w:rPr>
                <w:rFonts w:hint="eastAsia" w:ascii="仿宋" w:hAnsi="仿宋" w:eastAsia="仿宋" w:cs="仿宋"/>
                <w:sz w:val="28"/>
                <w:szCs w:val="28"/>
              </w:rPr>
              <w:t>《云南省尾矿库闭库销号管理办法（试行）》</w:t>
            </w:r>
          </w:p>
        </w:tc>
      </w:tr>
    </w:tbl>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健全监管执法体系。整合监管执法职责，明确将法律法规赋予省、州（市）、县（市、区）三级应急管理部门的有关危险化学品、烟花爆竹、矿山、工贸等行业领域安全监管，以及地质灾害、水旱灾害、森林草原火灾等有关应急抢险和灾害救助、防震减灾等方面的行政处罚、行政强制职能进行整合，组建应急管理综合行政执法队伍。健全省、州（市）、县（市、区）三级应急管理综合行政执法体系，厘清不同层级执法管辖权限，明确监管执法职责、执法范围和执法重点，实施分类分级执法。推动负有安全生产监管职责的部门设立安全监管内设机构，指导和规范乡镇、街道、开发区建立健全安全生产监管体系。采取派驻执法、跨区域执法或委托执法等方式，加强乡镇（街道）和各类功能区安全监管执法工作。优化安全监管力量配置，进一步推进安全监管网格化管理，推动安全监管服务向农村地区延伸。</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加强执法队伍建设。严格执行应急管理综合执法人员准入标准，坚持凡进必考，严格实施执法人员持证上岗和资格管理制度。建立执法人员入职培训、定期轮训和考核制度，强化安全生产法律法规、相关标准、监管执法业务的学习培训，提升基层执法人员执法水平和履职能力。将执法工作经费纳入本级财政预算，强化执法人员职业保障，按规定参加工伤保险，完善工资待遇、人身意外险。强化各级应急管理综合行政执法机构标准化建设和负有安全生产监管职责的部门监管能力建设，完善执法装备配备标准，强化执法工作条件保障。建立执法人员交流培养、考核奖惩制度和容错纠错机制，激励执法人员动真碰硬、严格执法。</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规范监管执法行为。全面梳理、规范和精简执法事项，编制统一执法目录，实行执法事项清单制度。将矿山、危险化学品、烟花爆竹、金属冶炼、涉爆粉尘等重点行业领域安全风险等级较高的企业纳入年度执法计划，其他企业实行“双随机、一公开”执法抽查。实行“执法告知、现场检查、交流反馈”、“企业主要负责人、安全管理人员、岗位操作员工全过程在场”和“执法+专家”的“三位一体”执法工作模式。全面落实行政执法公示、执法全过程记录、重大执法决定法制审核三项制度。大力推进“互联网+执法”系统应用，实现执法计划、执法检查、统计分析的实时管理。建立应急管理部门内设机构与综合行政执法队伍协调联动机制，以及跨领域跨部门综合行政执法与应急管理部门协调联动机制，推进联合执法、区域执法。健全行政处罚自由裁量标准，细化行政处罚等级，合理确定自由裁量幅度。严格执行安全生产行政执法与刑事司法衔接，完善案件移送、案情通报、信息共享等工作机制。</w:t>
      </w:r>
    </w:p>
    <w:p>
      <w:pPr>
        <w:pStyle w:val="4"/>
        <w:spacing w:before="0" w:after="0" w:line="600" w:lineRule="exact"/>
        <w:ind w:left="573"/>
        <w:rPr>
          <w:rFonts w:ascii="方正楷体简体" w:hAnsi="方正楷体简体" w:eastAsia="方正楷体简体" w:cs="方正楷体简体"/>
          <w:b w:val="0"/>
          <w:bCs w:val="0"/>
          <w:szCs w:val="21"/>
        </w:rPr>
      </w:pPr>
      <w:bookmarkStart w:id="18" w:name="_Toc92799665"/>
      <w:r>
        <w:rPr>
          <w:rFonts w:hint="eastAsia" w:ascii="方正楷体简体" w:hAnsi="方正楷体简体" w:eastAsia="方正楷体简体" w:cs="方正楷体简体"/>
          <w:b w:val="0"/>
          <w:bCs w:val="0"/>
          <w:szCs w:val="21"/>
        </w:rPr>
        <w:t>（</w:t>
      </w:r>
      <w:bookmarkStart w:id="19" w:name="_Hlk89147471"/>
      <w:r>
        <w:rPr>
          <w:rFonts w:hint="eastAsia" w:ascii="方正楷体简体" w:hAnsi="方正楷体简体" w:eastAsia="方正楷体简体" w:cs="方正楷体简体"/>
          <w:b w:val="0"/>
          <w:bCs w:val="0"/>
          <w:szCs w:val="21"/>
        </w:rPr>
        <w:t>三）</w:t>
      </w:r>
      <w:bookmarkEnd w:id="19"/>
      <w:r>
        <w:rPr>
          <w:rFonts w:hint="eastAsia" w:ascii="方正楷体简体" w:hAnsi="方正楷体简体" w:eastAsia="方正楷体简体" w:cs="方正楷体简体"/>
          <w:b w:val="0"/>
          <w:bCs w:val="0"/>
          <w:szCs w:val="21"/>
        </w:rPr>
        <w:t>加强双重预防机制建设</w:t>
      </w:r>
      <w:bookmarkEnd w:id="18"/>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强化规划统筹引领。将安全生产纳入国民经济和社会发展规划，在国土空间规划建设管理中充分考虑安全因素，推动形成有效防控重大安全风险的城市空间格局、产业结构和生产生活方式布局。强化与市政设施配套的安全设施建设，推动将城镇空间布局、公共安全设施、安全科普教育基地等纳入控制性详细规划和国土空间规划“一张图”。严格各类开发区选址及产业链选择，落实区域安全规划和风险评估安全要求，有效降低安全风险。加强重要基础设施、高危生产与储存设施等选址和建设运营的自然灾害风险评估，防范自然灾害及其次生灾害引发生产安全事故。制定重大政策、实施重大工程、举办重大活动时，开展专项安全风险评估，制定有针对性的安全风险管控措施和应急预案。</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严格安全生产准入。推动重点地区制定危险化学品、烟花爆竹和矿山等“禁限控”目录。严格建设项目安全设施“三同时”制度，加强对建设单位安全设施验收活动和验收结果的监督核查。将安全生产作为高危项目审批的前置条件，实施高危项目联合审批制度，加强项目立项、规划设计安全风险评估，从严实施涉及“三重一高”安全许可及监管。严格执行强制性工艺技术装备材料安全标准，加快淘汰退出煤矿、非煤矿山、危险化学品、烟花爆竹等生产企业落后产能。提高高危行业领域从业人员安全素质准入条件，明确高危行业领域企业负责人、安全管理人员和特种作业人员的安全素质要求，严格执行生产安全事故重大责任人员职业和行业禁入制度。</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提升风险防控能力。建立完善各行业领域企业安全风险评估制度，实行安全风险分级分类管理，严密防控绿色铝、绿色硅等新兴产业安全风险。加快重点行业领域安全风险监测预警系统建设，实施重大安全风险全生命周期管理。督促企业针对高危工艺、设备、物品、场所和岗位等重点环节，开展动态评估，及时调整风险等级和管控措施，确保安全风险始终处于受控范围内。开展城市安全风险评估，健全城市建设与运行安全风险管控责任体系和重大安全风险联防联控机制。加快智能工厂和数字化车间建设，推动信息化、智能化、数字化、网格化技术与安全生产风险防控深度融合。</w:t>
      </w:r>
    </w:p>
    <w:p>
      <w:pPr>
        <w:spacing w:line="600" w:lineRule="exact"/>
        <w:ind w:firstLine="640" w:firstLineChars="200"/>
        <w:rPr>
          <w:rFonts w:ascii="仿宋" w:hAnsi="仿宋" w:eastAsia="仿宋" w:cs="仿宋"/>
          <w:kern w:val="0"/>
          <w:sz w:val="32"/>
          <w:szCs w:val="32"/>
        </w:rPr>
      </w:pPr>
      <w:r>
        <w:rPr>
          <w:rFonts w:hint="eastAsia" w:ascii="仿宋_GB2312" w:hAnsi="仿宋" w:eastAsia="仿宋_GB2312" w:cs="仿宋"/>
          <w:kern w:val="0"/>
          <w:sz w:val="32"/>
          <w:szCs w:val="32"/>
        </w:rPr>
        <w:t>深化隐患排查治理。建立健全企业生产安全事故隐患排查治理制度、重大隐患治理情况向负有安全监管职责的部门和企业职代会“双报告”制度。严格实施重大事故隐患挂牌督办，督促企业建立隐患自查自改评价制度，定期分析、评估隐患治理效果，不断完善隐患排查治理工作机制。建立完善隐患排查治理“一张网”信息化管理系统，做到隐患自查自改自报的闭环管理，实现隐患动态分析、全过程记录管理和评价。完善安全生产隐患举报奖励制度，进一步加强社会监督、舆论监督和企业内部监督，督促企业严守承诺、依法运营。</w:t>
      </w:r>
    </w:p>
    <w:p>
      <w:pPr>
        <w:pStyle w:val="4"/>
        <w:spacing w:before="0" w:after="0" w:line="600" w:lineRule="exact"/>
        <w:ind w:left="573"/>
        <w:rPr>
          <w:rFonts w:ascii="方正楷体简体" w:hAnsi="方正楷体简体" w:eastAsia="方正楷体简体" w:cs="方正楷体简体"/>
          <w:b w:val="0"/>
          <w:bCs w:val="0"/>
          <w:szCs w:val="21"/>
        </w:rPr>
      </w:pPr>
      <w:bookmarkStart w:id="20" w:name="_Toc92799666"/>
      <w:r>
        <w:rPr>
          <w:rFonts w:hint="eastAsia" w:ascii="方正楷体简体" w:hAnsi="方正楷体简体" w:eastAsia="方正楷体简体" w:cs="方正楷体简体"/>
          <w:b w:val="0"/>
          <w:bCs w:val="0"/>
          <w:szCs w:val="21"/>
        </w:rPr>
        <w:t>（四）深化重点行业安全整治</w:t>
      </w:r>
      <w:bookmarkEnd w:id="20"/>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煤矿。严格控制煤矿数量，进一步提高深度开采、煤与瓦斯突出、高瓦斯等灾害严重煤矿安全准入门槛。严厉打击煤矿“五假五超三瞒三不”、擅自复工复建、借技改和隐患排查整改之名组织生产、拒不执行监管监察指令、非法私挖盗采煤炭等违法违规行为。深化瓦斯综合治理和水害、火灾防治工程。精准推进“一优三减”，大力实施“五化”改造提升工程。加快建立云南省煤矿安全监管信息化平台，建立全省统一的煤矿基础数据库、煤炭生产安全视频监测、煤矿生产能力管理、手机业务应用等系统。实施“机械化换人、自动化减人”，减少采掘工作面单班作业人数和井下同时作业人数。</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jc w:val="center"/>
              <w:rPr>
                <w:rFonts w:ascii="仿宋_GB2312" w:hAnsi="仿宋" w:eastAsia="仿宋_GB2312"/>
                <w:kern w:val="0"/>
                <w:sz w:val="28"/>
                <w:szCs w:val="28"/>
              </w:rPr>
            </w:pPr>
            <w:r>
              <w:rPr>
                <w:rFonts w:hint="eastAsia" w:ascii="方正楷体简体" w:hAnsi="方正楷体简体" w:eastAsia="方正楷体简体" w:cs="方正楷体简体"/>
                <w:kern w:val="0"/>
                <w:sz w:val="32"/>
                <w:szCs w:val="32"/>
              </w:rPr>
              <w:t>专栏3 煤矿安全监管重点地区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ind w:left="210" w:leftChars="100" w:firstLine="560" w:firstLineChars="200"/>
              <w:rPr>
                <w:rFonts w:ascii="仿宋" w:hAnsi="仿宋" w:eastAsia="仿宋" w:cs="仿宋"/>
                <w:sz w:val="28"/>
                <w:szCs w:val="28"/>
              </w:rPr>
            </w:pPr>
            <w:r>
              <w:rPr>
                <w:rFonts w:hint="eastAsia" w:ascii="仿宋" w:hAnsi="仿宋" w:eastAsia="仿宋" w:cs="仿宋"/>
                <w:sz w:val="28"/>
                <w:szCs w:val="28"/>
              </w:rPr>
              <w:t>州（市）：曲靖、昭通、红河、丽江</w:t>
            </w:r>
          </w:p>
          <w:p>
            <w:pPr>
              <w:spacing w:line="480" w:lineRule="exact"/>
              <w:ind w:left="210" w:leftChars="100" w:firstLine="560" w:firstLineChars="200"/>
              <w:rPr>
                <w:rFonts w:ascii="仿宋_GB2312" w:hAnsi="仿宋" w:eastAsia="仿宋_GB2312"/>
                <w:kern w:val="0"/>
                <w:sz w:val="28"/>
                <w:szCs w:val="28"/>
              </w:rPr>
            </w:pPr>
            <w:r>
              <w:rPr>
                <w:rFonts w:hint="eastAsia" w:ascii="仿宋" w:hAnsi="仿宋" w:eastAsia="仿宋" w:cs="仿宋"/>
                <w:sz w:val="28"/>
                <w:szCs w:val="28"/>
              </w:rPr>
              <w:t>县（市、区）：楚雄市、南华县、富宁县、华坪县、富源县、宣威市、师宗县、镇雄县、威信县、泸西县、华坪县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jc w:val="center"/>
              <w:rPr>
                <w:rFonts w:ascii="仿宋_GB2312" w:hAnsi="仿宋" w:eastAsia="仿宋_GB2312"/>
                <w:kern w:val="0"/>
                <w:sz w:val="28"/>
                <w:szCs w:val="28"/>
              </w:rPr>
            </w:pPr>
            <w:r>
              <w:rPr>
                <w:rFonts w:hint="eastAsia" w:ascii="方正楷体简体" w:hAnsi="方正楷体简体" w:eastAsia="方正楷体简体" w:cs="方正楷体简体"/>
                <w:kern w:val="0"/>
                <w:sz w:val="32"/>
                <w:szCs w:val="32"/>
              </w:rPr>
              <w:t>专栏4 煤矿安全准入门槛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ind w:left="210" w:leftChars="100" w:firstLine="560" w:firstLineChars="200"/>
              <w:rPr>
                <w:rFonts w:ascii="仿宋_GB2312" w:hAnsi="仿宋" w:eastAsia="仿宋_GB2312"/>
                <w:kern w:val="0"/>
                <w:sz w:val="28"/>
                <w:szCs w:val="28"/>
              </w:rPr>
            </w:pPr>
            <w:r>
              <w:rPr>
                <w:rFonts w:hint="eastAsia" w:ascii="仿宋" w:hAnsi="仿宋" w:eastAsia="仿宋" w:cs="仿宋"/>
                <w:sz w:val="28"/>
                <w:szCs w:val="28"/>
              </w:rPr>
              <w:t>停止审批改扩建后产能低于30万吨/年的煤矿项目。停止审批新建和改扩建后产能低于90万吨/年的煤与瓦斯突出煤矿项目。停止审批新建开采深度超1000米和改扩建开采深度超1200米的大中型及以上煤矿项目，改扩建开采深度超600米的其他煤矿项目。停止审批新建和改扩建产能高于500万吨/年的煤与瓦斯突出煤矿项目，新建和改扩建产能高于800万吨/年的高瓦斯煤矿项目。</w:t>
            </w:r>
          </w:p>
        </w:tc>
      </w:tr>
    </w:tbl>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非煤矿山。严格执行非煤矿山延续和新设标准条件，实行尾矿库总量控制，数量原则上只减不增。严格控制新建独立选矿厂尾矿库，严禁新建“头顶库”、总坝高超过200米的尾矿库，严禁在距离金沙江（长江）干流岸线3公里、重要支流岸线1公里范围内新（改、扩）建尾矿库。严格非煤矿山安全设施设计审查和安全生产许可管理，加强对非煤矿山建设项目安全设施竣工验收活动和验收结果的监督核查。加大非煤矿山整顿关闭力度。深入开展尾矿库“头顶库”综合治理，对安全水平没有保障的“头顶库”采用闭库销号或升级改造、尾矿综合利用等方式进行治理。稳步推进非煤矿山信息化建设，生产地下矿山完善人员定位系统、监测监控系统和通信联络系统，在用和停用尾矿库建成在线监测系统。</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jc w:val="center"/>
              <w:rPr>
                <w:rFonts w:ascii="仿宋_GB2312" w:hAnsi="仿宋" w:eastAsia="仿宋_GB2312"/>
                <w:kern w:val="0"/>
                <w:sz w:val="28"/>
                <w:szCs w:val="28"/>
              </w:rPr>
            </w:pPr>
            <w:r>
              <w:rPr>
                <w:rFonts w:hint="eastAsia" w:ascii="方正楷体简体" w:hAnsi="方正楷体简体" w:eastAsia="方正楷体简体" w:cs="方正楷体简体"/>
                <w:kern w:val="0"/>
                <w:sz w:val="32"/>
                <w:szCs w:val="32"/>
              </w:rPr>
              <w:t>专栏5 非煤矿山整顿关闭重点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ind w:left="210" w:leftChars="100" w:firstLine="560" w:firstLineChars="200"/>
              <w:rPr>
                <w:rFonts w:ascii="仿宋_GB2312" w:hAnsi="仿宋" w:eastAsia="仿宋_GB2312"/>
                <w:kern w:val="0"/>
                <w:sz w:val="28"/>
                <w:szCs w:val="28"/>
              </w:rPr>
            </w:pPr>
            <w:r>
              <w:rPr>
                <w:rFonts w:hint="eastAsia" w:ascii="仿宋" w:hAnsi="仿宋" w:eastAsia="仿宋" w:cs="仿宋"/>
                <w:sz w:val="28"/>
                <w:szCs w:val="28"/>
              </w:rPr>
              <w:t>不符合国家或地方最小开采规模和最低服务年限标准、存在重大事故隐患逾期不整改或整改后仍达不到法定安全生产条件、违反建设项目安全设施“三同时”规定且拒不执行安全监管指令逾期未完善相关手续的非煤矿山，以及安全生产条件达不到煤矿国家标准或行业标准要求的与煤共（伴）生金属非金属矿山、已运行到设计最终标高或不再进行排尾作业的尾矿库。全面清理不符合国家产业政策和长江经济带生态环境保护等要求的非煤矿山。强制淘汰采用干式制动的无轨胶轮车或者改装车辆运输人员、炸药、油料等落后工艺设备。</w:t>
            </w:r>
          </w:p>
        </w:tc>
      </w:tr>
    </w:tbl>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化工及危险化学品。严格控制涉及光气等有毒气体、硝酸铵等爆炸危险性化学品的建设项目，严禁已淘汰的落后产能异地落户和进园入区。全面排查管控危险化学品生产存储企业外部安全防护距离，实施城镇人口密集区危险化学品生产企业搬迁改造。危险化学品生产储存企业行政办公区、后勤保障区、集中控制区和生产作业区实行四区分离，实施智能二道门管理系统。推进危险化学品“两重点一重大”企业生产装置、储存设施可燃气体和有毒气体泄漏检测报警装置、紧急切断装置、自动化控制系统、安全仪表系统等安全监测监控系统改造升级。推动涉及合成氨、电解（氯碱）、硝化、氯化、氟化、过氧化等重点监管危险化工工艺装置的上下游配套装置自动化控制及安全仪表系统。加强使用危险化学品从事生产的企业及医院、学校、科研机构等单位的危险化学品使用安全管理。强化废弃危险化学品等危险废物安全监管，建立形成覆盖危险废物产生、收集、贮存、转移、运输、利用处置等全过程的监管体系。加强涉及危险化学品的停车场安全管理，强化托运、承运、装卸、车辆运行等危险货物运输全链条安全监管。全面推行油气输送管道完整性管理，强化人员密集型高后果区、地质灾害隐患点等管道风险管控。持续推进老旧管道更新改造和管道环焊缝缺陷等事故隐患排查治理，加快完善油气输送管道地理信息系统。</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ind w:firstLine="640" w:firstLineChars="200"/>
              <w:jc w:val="center"/>
              <w:rPr>
                <w:rFonts w:ascii="仿宋_GB2312" w:eastAsia="仿宋_GB2312"/>
                <w:sz w:val="28"/>
                <w:szCs w:val="28"/>
              </w:rPr>
            </w:pPr>
            <w:r>
              <w:rPr>
                <w:rFonts w:hint="eastAsia" w:ascii="方正楷体简体" w:hAnsi="方正楷体简体" w:eastAsia="方正楷体简体" w:cs="方正楷体简体"/>
                <w:kern w:val="0"/>
                <w:sz w:val="32"/>
                <w:szCs w:val="32"/>
              </w:rPr>
              <w:t>专栏6 危险化学品管控重点州（市）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jc w:val="center"/>
              <w:rPr>
                <w:rFonts w:ascii="仿宋" w:hAnsi="仿宋" w:eastAsia="仿宋" w:cs="仿宋"/>
                <w:sz w:val="28"/>
                <w:szCs w:val="28"/>
              </w:rPr>
            </w:pPr>
            <w:r>
              <w:rPr>
                <w:rFonts w:hint="eastAsia" w:ascii="仿宋" w:hAnsi="仿宋" w:eastAsia="仿宋" w:cs="仿宋"/>
                <w:sz w:val="28"/>
                <w:szCs w:val="28"/>
              </w:rPr>
              <w:t>昆明、曲靖、昭通、楚雄、红河、</w:t>
            </w:r>
          </w:p>
        </w:tc>
      </w:tr>
    </w:tbl>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消防。持续开展打通消防“生命通道”工程，推动单位和新建住宅小区实行消防车通道标识化管理，对老旧小区实行“一区一策”综合治理。针对高层建筑、地下轨道交通、大型商业综合体、石油化工企业和“三合一、多合一”场所、“四名一文一传”、易地扶贫搬迁安置点（区）等高风险对象，电气消防安全、电动自行车等领域突出问题，以及易燃可燃彩钢板房、物流仓储和电化学储能电站、“半山酒店”、电子商务等新材料新能源新业态存在的消防安全风险，逐步整治和消除静态火灾隐患，全面落实差异化风险管控措施。加强对乡镇工业园、特色小镇、小微企业、大型村寨等消防安全评估和管理，推进农村地区消防水源、市政消火栓、消防车通道、消防安全组织等基础设施建设和电气线路、炉灶等用火用电安全改造，配置适宜农村地区使用的消防车辆和器材装备。以学校及幼儿园、养老服务机构、文化娱乐场所、星级宾馆饭店、商场市场、旅游景区、医疗卫生机构、宗教活动场所、文物建筑和博物馆等单位为重点，分类建立完善行业系统消防安全管理标准，实施消防安全集中整治和标准化管理达标创建。逐步建立完善城市消防大数据库，建设火灾检测预警预报平台和消防物联网监控系统，推动基层综治、社区、网格等信息化管理平台嵌入消防安全管理模块，不断健全完善“智慧消防”风险管控模式。</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道路交通。持续加大基础设施安全防护投入，实施国省干线公路、乡村公路急弯陡坡、临水临崖重点危险路段公路安全生命防护工程建设。实施公路危桥改造，提升公路桥梁安全防护和连续长陡下坡路段安全通行能力。建立高速公路安全隐患动态排查治理机制，推进道路、桥梁、隧道等安全运行检测与智能预警系统建设，加强安全防护设施的检查、维修、养护、更换和日常养护工作。持续推进“两客一危”和重载货车北斗卫星导航系统安装。深化农村公路平交路口“千灯万带”示范工程，推进实施干线公路灾害防治工程，全面清理整治农村“马路市场”。加强客货运驾驶人培训考试监管，建立客货运驾驶人从业信息、交通违法和事故信息共享机制。严格执行长途客运车辆、旅游客车、危险物品运输车辆等运营车辆安全技术准入标准，提高安全性能。严格执行强制报废标准，督促客运企业及时报废、淘汰老旧客车。强化货车、挂车改装监管，严厉打击“百吨王”、“大吨小标”及倒卖合格证等违法违规行为。加强交通运输新业态管理服务，加大对新能源公交车、新能源出租车运营安全性的监督管理力度，强化长途客运班车和省际包车、危险货物运输和城市公共交通企业安全监管。建立健全农村客运班车通行条件联合审核机制，推动农村客运车辆安装使用卫星定位装置和视频监控装置，严厉查处农用车、货车载人等非法违法行为，提升农村交通安全管理水平。</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交通运输（除道路交通运输外）。强化可控飞行撞地、跑道安全、空中相撞、鸟击防范、危险品运输等重点风险防范程序和管控措施。加强燃放烟花礼炮、焚烧秸秆垃圾、无人机黑飞、放飞孔明灯和气球、建筑及施工机械超高和鸟害防治等治理工作。深化铁路沿线安全专项整治，全面划定铁路线路安全保护区。开展非法托运、违规承运危险货物、危险货物储存场所专项整治。强化公铁水并行交汇地段安全防护设施的设置和管理。加强“四类重点船舶”、“两江”和重点库湖区安全监管，严厉打击渡船超航线、超乘客定额、超核定载重线、超核定抗风等级冒险航行。开展乡镇自用船舶的检丈、登记工作,依法制止非法设渡、客货运输等违法行为。以港口客运为重点，强化港口安全管理，加快推进巡航救助一体化船艇和海事监管、船舶应急设备库建设，加大对监管救援装备、视频监控系统、应急通信系统、基础配套设备建设。完善老旧船舶管理制度，严格执行船检技术标准和强制报废标准，加快推动老旧船舶更新换代、技术改造。完善船舶安装防碰撞等技术装备，提高船舶装备主动安全防御能力。强化城市轨道交通设施检测养护、设备运行维修、行车组织、客运组织、运行环境等各类风险管控。强化城市轨道交通保护区专项整治，严厉打击违规施工作业、私搭乱建、堆放易燃易爆危险品等危及城市轨道交通运营安全的行为。完善收寄验视、实名收寄、过机安检“三位一体”防控模式，加强收寄验视标识、安全检查标识规范管理。</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工贸。</w:t>
      </w:r>
      <w:r>
        <w:rPr>
          <w:rFonts w:hint="eastAsia" w:ascii="仿宋_GB2312" w:hAnsi="仿宋_GB2312" w:eastAsia="仿宋_GB2312" w:cs="仿宋_GB2312"/>
          <w:sz w:val="32"/>
          <w:szCs w:val="32"/>
        </w:rPr>
        <w:t>持续推进工贸行业重点领域、重大风险源点、重大生产安全事故隐患和重点企业“三级巡查四级预警”，并逐步覆盖到建材、轻工、粉尘涉爆、有限空间等行业领域，推进巡查预警工作提质扩面。建设安全风险源“码上查”信息系统，着力落实企业安全生产主体责任，强化重点工贸企业安全风险源管控及隐患排查治理情况监控，督促重点工贸企业健全完善安全风险分级管控和隐患排查治理双重预防工作机制。深入推进金属冶炼、有限空间、粉尘涉爆、涉氨制冷等重点行业领域重大事故隐患动态“清零”，督促企业持续改善和提升安全生产条件。</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烟花爆竹。加强烟花爆竹生产过程安全管理，持续推进烟花爆竹生产机械化自动化改造，持续深化分包转包、“三超一改”等突出违法违规行为专项治理。开展烟花爆竹经营安全专项治理，严肃查处超量存放、存放过期产品、流向系统使用不规范等违法违规行为。科学合理布设烟花爆竹零售网点，实行总量控制。推进烟花爆竹风险监测预警系统建设。强化烟花爆竹产品流向登记管理，加强烟花爆竹全过程信息化追溯体系建设，强化流通过程监督管控。</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建筑施工。实施危险性较大的分部分项工程安全专项整治，全面落实工程建设各方安全生产主体责任。开展房屋建筑和市政基础设施工程建筑起重机械、高支模、深基坑、城市轨道交通工程等专项治理，依法打击建筑施工非法违法行为。开展建成区内的所有房屋建筑专项清查整治工作，全面排查房屋建筑违法建设、违法违规审批和事故隐患。严格实施专项施工方案编制、审核、论证制度。依法查处各类违反安全生产法律法规、工程建设强制性标准、规章制度、操作规程行为和施工企业违法转包分包、违规挂靠、无证上岗等行为。</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农林牧渔业。深入开展“平安农机”创建活动，完善农机注册登记和农机安全检验制度，严厉查处变型拖拉机假牌、套牌、无牌、逾期脱检、拼装、改装和变型拖拉机驾驶人无证驾驶、酒后驾驶、超速、超载、违法载人等违法行为。严格落实农村沼气设施属地安全管理责任，规范沼气设施安全管理。强化大型养殖场基础设施建设和中小型养殖场拆除、扩建施工过程风险防控。持续开展农业行业危险化学品安全使用专项治理工作。加强国有林区、国家公园、自然保护区、森林公园、湿地公园等自然保护地及边境林区、高黎贡山安全风险防控。严格渔船初次检验、营运检验和船用产品检验制度，推进渔船标准化改造工作。</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文化旅游业。加强文保单位、传统村落、博物馆、历史名镇、文物古建筑等场所消防设施和用火用电管理。把重点文保单位和传统村落消防基础设施建设纳入乡村振兴工作范畴，一并实施水改、电改、路改、技改工程。强化景区高风险项目安全监管，进一步做好客运索道、观光车、大型游乐设施设备的安全保障工作。加强旅游客运车辆监管，严厉打击旅游客运车辆脱离动态监控运行、非法营运等违法经营行为。</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城市建设与运行安全。将城市安全韧性作为城市体检评估的重要内容，将城市安全发展落实到城市规划建设管理的各个方面和各个环节。全面排查利用原有建筑物改建改用为酒店、饭店、学校、体育馆、农贸市场、医院、娱乐场所等人员聚集场所事故隐患，依法查处违法建设、违规改变建筑主体结构或使用功能等造成事故隐患的行为。开展城市地下空间和市政基础设施普查，推动城市地下基础设施信息及监测预警管理平台建设，逐步对超过设计使用年限、材质落后的老旧地下市政基础设施进行更新改造。推进道路桥梁、排水、燃气、管廊等市政基础设施智能化终端感知设备建设，建立渣土受纳场常态监测机制。强化城镇燃气源头管控，科学规划城镇燃气管网，严格审批城镇燃气管网建设项目。加强城镇燃气管线的巡查维护，严查在燃气设施保护范围内爆破、取土作业、动用明火、放置易燃易爆物品、建设占压地下燃气管线的建筑物及构筑物等危及燃气设施安全的活动。进一步完善步行道、自行车道和行人过街安全设施和城市公共汽车驾驶区域安全防护隔离设施设置。加强城市棚户区、城中村和危房改造过程中的安全监管。对重点人员密集场所、安全风险较高的大型群众性集聚地点开展安全风险评估，建立大客流监测预警和应急管控处置机制。</w:t>
      </w:r>
      <w:r>
        <w:rPr>
          <w:rFonts w:ascii="仿宋_GB2312" w:hAnsi="仿宋" w:eastAsia="仿宋_GB2312" w:cs="仿宋"/>
          <w:kern w:val="0"/>
          <w:sz w:val="32"/>
          <w:szCs w:val="32"/>
        </w:rPr>
        <w:t>推动</w:t>
      </w:r>
      <w:r>
        <w:rPr>
          <w:rFonts w:hint="eastAsia" w:ascii="仿宋_GB2312" w:hAnsi="仿宋" w:eastAsia="仿宋_GB2312" w:cs="仿宋"/>
          <w:kern w:val="0"/>
          <w:sz w:val="32"/>
          <w:szCs w:val="32"/>
        </w:rPr>
        <w:t>智能电网建设</w:t>
      </w:r>
      <w:r>
        <w:rPr>
          <w:rFonts w:ascii="仿宋_GB2312" w:hAnsi="仿宋" w:eastAsia="仿宋_GB2312" w:cs="仿宋"/>
          <w:kern w:val="0"/>
          <w:sz w:val="32"/>
          <w:szCs w:val="32"/>
        </w:rPr>
        <w:t>，提高电力系统极端情况高峰保电能力和大比例可再生能源消纳能力。</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开发区。统筹开发区空间布局，合理规范开发区企业布局。明确开发区项目准入条件，制定“禁限控”目录，严格建设项目安全条件审查，严防高风险项目转移，严禁承接其他地区关闭退出的落后产能。建立以风险分级管控和隐患排查治理为重点的安全预防控制体系，开展园区整体性安全风险评估，有序推进园区封闭化管理。综合园区内公共设施、上下游产业链、应急救援等各环节，实施一体化管理。完善水、电、气、风、污水处理、公用管廊、道路交通、应急救援设施、消防设施、消防车道等公用工程配套和安全保障设施。深化冶金有色等产业聚集区的安全管理，强化高温熔融金属、冶金煤气、深井铸造等重点领域执法检查，推动企业采取设备升级改造、自动化控制、联锁、机械防护和能量隔离等手段，提高本质安全水平。以昆明、曲靖、玉溪、楚雄、红河等滇中城市群快递物流园区为重点，开展危险化学品、烟花爆竹等易燃易爆、有毒有害物品储存仓库隐患排查治理，强化危险货物运输车辆及专用停车场安全管理。严格限定港口码头等功能区危险货物周转总量，强化口岸港政、海关、海事等部门的监管协作和信息通报制度。</w:t>
      </w:r>
    </w:p>
    <w:p>
      <w:pPr>
        <w:pStyle w:val="4"/>
        <w:spacing w:before="0" w:after="0" w:line="600" w:lineRule="exact"/>
        <w:ind w:left="573"/>
        <w:rPr>
          <w:rFonts w:ascii="方正楷体简体" w:hAnsi="方正楷体简体" w:eastAsia="方正楷体简体" w:cs="方正楷体简体"/>
          <w:b w:val="0"/>
          <w:bCs w:val="0"/>
          <w:szCs w:val="21"/>
        </w:rPr>
      </w:pPr>
      <w:bookmarkStart w:id="21" w:name="_Toc92799667"/>
      <w:r>
        <w:rPr>
          <w:rFonts w:hint="eastAsia" w:ascii="方正楷体简体" w:hAnsi="方正楷体简体" w:eastAsia="方正楷体简体" w:cs="方正楷体简体"/>
          <w:b w:val="0"/>
          <w:bCs w:val="0"/>
          <w:szCs w:val="21"/>
        </w:rPr>
        <w:t>（五）提升应急救援处置效能</w:t>
      </w:r>
      <w:bookmarkEnd w:id="21"/>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完善应急响应机制。修订完善各类生产安全事故应急预案，加大对企业应急预案监督管理力度，强化政企预案衔接与联动。加强政企联合、社企联动、多部门协作生产安全事故应急演练，完善应急指挥协调、事故通报、力量协同、资源保障等应急联动机制。督促企业建立应急准备能力评估、应急预案修订及备案制度。推动规模以上高危行业领域企业加强专兼职应急救援队伍建设及应急物资装备配备，建立内部监测预警、态势研判及与政府、周边单位的信息通报、资源互助机制。严格落实各级各部门（单位）应急值班值守工作制度，完善信息接处、应急响应、应急处置协同联动工作机制。</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提升应急处置能力。细化各级党委、政府和有关部门应急管理、救援能力建设和应急指挥协调工作职责。紧紧围绕构建“统一指挥、专常兼备、反应灵敏、上下联动、平战结合”应急救援力量体系，推动重点行业领域安全生产应急救援队伍质量标准化规范化建设，规范应急队伍人员编成、教育训练、基础设施、救援车辆、装备器材及经费物资保障基本标准要求。强化培训演练，增强救援队伍一专多能、一队多用、全灾种、跨地区协同抢险救援能力。完善应急救援专家库，健全专家会商、分析研判、指导救援工作制度，形成统一指挥，密切配合的应急救援合力。健全信息报告、预警发布、应急响应、应急处置、协调联动机制。面向东南亚，与“一带一路”邻近国家联合开展应急救援演练，进一步优化合作机制、畅通合作渠道、完善合作流程，提升协同配合能力。</w:t>
      </w:r>
    </w:p>
    <w:p>
      <w:pPr>
        <w:spacing w:line="600" w:lineRule="exact"/>
        <w:ind w:firstLine="640" w:firstLineChars="200"/>
        <w:rPr>
          <w:rFonts w:ascii="仿宋" w:hAnsi="仿宋" w:eastAsia="仿宋" w:cs="仿宋"/>
          <w:kern w:val="0"/>
          <w:sz w:val="32"/>
          <w:szCs w:val="32"/>
        </w:rPr>
      </w:pPr>
      <w:r>
        <w:rPr>
          <w:rFonts w:hint="eastAsia" w:ascii="仿宋_GB2312" w:hAnsi="仿宋" w:eastAsia="仿宋_GB2312" w:cs="仿宋"/>
          <w:kern w:val="0"/>
          <w:sz w:val="32"/>
          <w:szCs w:val="32"/>
        </w:rPr>
        <w:t>强化应急保障能力。以应急综合业务平台为依托，构建全省安全生产应急救援“一张图、一张表、一张网”，建成跨部门、跨层级、跨网络，集业务协同、信息共享等功能于一体的综合应用平台，实现应急调度、预警分析、卫星遥感、作战指挥、预案管理互联互通。健全应急物资储备体系，完善政府储备，推动企业社会责任储备，鼓励企业商业储备，加强关键领域、关键环节的应急物资生产能力储备。建立应急物资储备与调度管理系统，全面提升应急物资保障数字化、智能化水平。健全道路交通事故多部门联动救援长效机制，科学规划建设救援服务站点。根据城市人口分布和规模，加强应急避难场所规划、建设、使用与管理。进一步完善应急救援社会化有偿服务、应急物资装备补偿、应急救援人员人身意外伤害保险和伤亡抚恤褒奖等政策。</w:t>
      </w:r>
    </w:p>
    <w:p>
      <w:pPr>
        <w:pStyle w:val="4"/>
        <w:spacing w:before="0" w:after="0" w:line="600" w:lineRule="exact"/>
        <w:ind w:left="573"/>
        <w:rPr>
          <w:rFonts w:ascii="方正楷体简体" w:hAnsi="方正楷体简体" w:eastAsia="方正楷体简体" w:cs="方正楷体简体"/>
          <w:b w:val="0"/>
          <w:bCs w:val="0"/>
          <w:szCs w:val="21"/>
        </w:rPr>
      </w:pPr>
      <w:bookmarkStart w:id="22" w:name="_Toc92799668"/>
      <w:r>
        <w:rPr>
          <w:rFonts w:hint="eastAsia" w:ascii="方正楷体简体" w:hAnsi="方正楷体简体" w:eastAsia="方正楷体简体" w:cs="方正楷体简体"/>
          <w:b w:val="0"/>
          <w:bCs w:val="0"/>
          <w:szCs w:val="21"/>
        </w:rPr>
        <w:t>（六）强化安全科技支撑能力</w:t>
      </w:r>
      <w:bookmarkEnd w:id="22"/>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加快安全专业人才培养。实施高危行业领域从业人员安全技能提升专项行动，严格企业主要负责人、安全管理人员安全生产知识和管理能力考核，强化特种作业人员安全技能培训考试，提高一线作业人员安全生产意识和安全操作技能。完善与理论研究、技术创新、装备研发和应用研究等工作相适应的科技人才激励机制。加快以注册安全工程师为主的安全生产专业技术人员队伍建设，加大安全生产管理、认证认可和检验检测等人才培养力度。通过定向培养、校企联合培养等方式，培育一批既懂技术又懂管理的安全生产复合型人才和岗位能手。加强安全工程技术人才职称评审工作，提高企业安全管理人员的安全素质和安全管理效能。</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强化安全生产科技支撑。围绕平安云南建设战略需求，开展以煤矿、非煤矿山、危险化学品、电网等为重点的安全生产事故监测预警、风险分级防控等技术研究，借助技术革新有效降低安全风险。推动建立中央驻滇科研院所与省内高等学校、科研院所、企业联合实施科技成果本地转化的长效机制。加快信息化、智能化、无人化的监测预警技术和轻量化、便携化、高机动性应急装备的推广应用。鼓励有条件地区发展安全应急产业示范基地，形成区域性创新中心和成果转化中心。以产业转型升级为契机，在煤矿、非煤矿山、危险化学品和烟花爆竹等重点行业领域开展“机械化换人、自动化减人、机器人换岗”示范建设，推动工业机器人、智能装备在危险工序和环节的广泛应用。研究推进“智慧工地”建设，有效提升施工现场安全监控和过程管控能力。</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推进安全生产信息化建设。紧密结合“数字云南”“新基建”“工业互联网+安全生产”等行动计划，加快信息技术与安全生产管理的深度融合，推进安全生产信息化建设和升级完善，加大生产监控系统、视觉识别系统、定位系统、安全风险管控系统、事故隐患排查系统、安全生产与应急管理系统等在生产中的应用，形成可追溯的现场安全生产信息化管控链条。推进省、州（市）、县（市、区）三级“互联网+应急监管”能力建设，加快监管数据共享融合，逐步实现监管事项全覆盖和监管过程全记录，不断提升事中事后监管规范化、精准化和智能化水平。充分运用物联网、云计算、大数据、空间地理信息集成等信息技术，推进安全生产风险监测预警系统建设，实现对高危行业领域立体化、无盲区动态监测。健全城市安全感知网络，构建城市安全重点行业领域监测预警体系，开展事故隐患的全方位物联网监测、数据汇聚与智能分析，实现风险精细化管控和城市精细化治理。深化道路交通运输动态监管科技手段应用，推进城市交通信号联网联控，强化交通出行诱导服务。按照“自动感知、高效协同、智慧服务、营运创新”的原则，依托大数据、物联网、互联网+等集成创新应用，实现高速路网全域感知、精准管控。加强重大事故隐患、安全监管执法、应急救援、企业基础信息等综合分析研判，充分挖掘数据价值，为风险防范、预警预报、指挥调度、应急处置等提供智能化、专业化、精细化手段。推动有条件的州（市）整合安全生产、消防安全、交通安全、城市生命线、特种设备、“雪亮工程”等监测监控信息，建立城市安全风险综合监测预警体系，提升城市安全风险防控水平。</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jc w:val="center"/>
              <w:rPr>
                <w:rFonts w:ascii="仿宋_GB2312" w:hAnsi="仿宋" w:eastAsia="仿宋_GB2312"/>
                <w:kern w:val="0"/>
                <w:sz w:val="28"/>
                <w:szCs w:val="28"/>
              </w:rPr>
            </w:pPr>
            <w:r>
              <w:rPr>
                <w:rFonts w:hint="eastAsia" w:ascii="方正楷体简体" w:hAnsi="方正楷体简体" w:eastAsia="方正楷体简体" w:cs="方正楷体简体"/>
                <w:kern w:val="0"/>
                <w:sz w:val="32"/>
                <w:szCs w:val="32"/>
              </w:rPr>
              <w:t>专栏7 安全生产风险监测预警系统建设重点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spacing w:line="480" w:lineRule="exact"/>
              <w:ind w:left="210" w:leftChars="100" w:firstLine="560" w:firstLineChars="200"/>
              <w:rPr>
                <w:rFonts w:ascii="仿宋_GB2312" w:hAnsi="仿宋" w:eastAsia="仿宋_GB2312"/>
                <w:kern w:val="0"/>
                <w:sz w:val="28"/>
                <w:szCs w:val="28"/>
              </w:rPr>
            </w:pPr>
            <w:r>
              <w:rPr>
                <w:rFonts w:hint="eastAsia" w:ascii="仿宋" w:hAnsi="仿宋" w:eastAsia="仿宋" w:cs="仿宋"/>
                <w:sz w:val="28"/>
                <w:szCs w:val="28"/>
              </w:rPr>
              <w:t>危险化学品安全生产风险监测预警系统中接入储存硝酸铵、氯酸钾、氯酸钠、硝化棉等构成重大危险源的危险化学品仓库和涉及重大危险源的危险化学品装卸站台监测监控数据，新增视频智能分析功能。加快烟花爆竹生产企业、涉粉作业人数超过30人的粉尘涉爆重点企业、地下矿山、尾矿库、边坡高度超过200米的金属非金属露天矿山监测联网。</w:t>
            </w:r>
          </w:p>
        </w:tc>
      </w:tr>
    </w:tbl>
    <w:p>
      <w:pPr>
        <w:pStyle w:val="4"/>
        <w:spacing w:before="0" w:after="0" w:line="600" w:lineRule="exact"/>
        <w:ind w:left="573"/>
        <w:rPr>
          <w:rFonts w:ascii="方正楷体简体" w:hAnsi="方正楷体简体" w:eastAsia="方正楷体简体" w:cs="方正楷体简体"/>
          <w:b w:val="0"/>
          <w:bCs w:val="0"/>
          <w:szCs w:val="21"/>
        </w:rPr>
      </w:pPr>
      <w:bookmarkStart w:id="23" w:name="_Toc92799669"/>
      <w:r>
        <w:rPr>
          <w:rFonts w:hint="eastAsia" w:ascii="方正楷体简体" w:hAnsi="方正楷体简体" w:eastAsia="方正楷体简体" w:cs="方正楷体简体"/>
          <w:b w:val="0"/>
          <w:bCs w:val="0"/>
          <w:szCs w:val="21"/>
        </w:rPr>
        <w:t>（七）打造安全共建共治格局</w:t>
      </w:r>
      <w:bookmarkEnd w:id="23"/>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提高全民安全素质。实施全民安全生产宣传教育行动计划，引导公众践行安全的生产生活方式。将安全教育纳入国民教育体系，鼓励中小学开办各种形式的安全教育课堂。将安全教育纳入公民法治和科学常识普及、职业技能培训等工作。在报刊、电视、广播、杂志、政府网站、“两微一端”等媒体平台开设安全生产专栏和专题节目。以“安全生产月”“宪法宣传日”“安全生产法宣传周”等活动为契机，持续开展安全生产公益宣传活动。全面推进安全宣传“五进”工作，进一步增强全民风险防范、安全应急意识和自救互救能力。完善安全生产科普知识库，建立安全生产法规标准查询、解读、互动的交流信息平台。将安全文化元素充分融入社区公园、广场等，打造各具特色、内容丰富的安全文化阵地，形成“一处一景”、“一场一亮点”。推动各行业、各地区建设一批灾害事故科普宣教和安全体验基地，加强公益宣传,普及安全知识,培育安全文化。</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健全社会共治体系。严格落实安全生产失信行为联合惩戒制度，加大守信激励、失信惩戒力度。积极培育安全服务新业态，鼓励发展安全生产技术咨询、系统设计、设备制造、工程施工、运营管理等专业化服务。鼓励协会、联合会、商会、慈善组织、志愿者团体等社会力量参与安全生产工作。健全安全公益宣传、公众参与、社会监督和舆情监控机制，完善网络平台、举报信箱和举报电话等社会监督渠道。充分发挥工会、共青团、妇联等群团组织对安全生产工作的监督作用，提高劳动者维护安全生产正当权益意识，依法行使知情权、参与权、表达权、监督权。</w:t>
      </w:r>
    </w:p>
    <w:p>
      <w:pPr>
        <w:pStyle w:val="3"/>
        <w:spacing w:before="0" w:after="0" w:line="600" w:lineRule="exact"/>
        <w:ind w:left="420" w:leftChars="200" w:firstLine="320" w:firstLineChars="100"/>
        <w:rPr>
          <w:rFonts w:eastAsia="黑体"/>
          <w:b w:val="0"/>
          <w:sz w:val="32"/>
          <w:szCs w:val="32"/>
          <w:shd w:val="clear" w:color="auto" w:fill="FFFFFF"/>
          <w:lang w:val="zh-CN"/>
        </w:rPr>
      </w:pPr>
      <w:bookmarkStart w:id="24" w:name="_Toc92799670"/>
      <w:r>
        <w:rPr>
          <w:rFonts w:hint="eastAsia" w:eastAsia="黑体"/>
          <w:b w:val="0"/>
          <w:sz w:val="32"/>
          <w:szCs w:val="32"/>
          <w:shd w:val="clear" w:color="auto" w:fill="FFFFFF"/>
          <w:lang w:val="zh-CN"/>
        </w:rPr>
        <w:t>四、重点工程</w:t>
      </w:r>
      <w:bookmarkEnd w:id="24"/>
    </w:p>
    <w:p>
      <w:pPr>
        <w:pStyle w:val="4"/>
        <w:spacing w:before="0" w:after="0" w:line="600" w:lineRule="exact"/>
        <w:ind w:left="573"/>
        <w:rPr>
          <w:rFonts w:ascii="方正楷体简体" w:hAnsi="方正楷体简体" w:eastAsia="方正楷体简体" w:cs="方正楷体简体"/>
          <w:b w:val="0"/>
          <w:bCs w:val="0"/>
          <w:szCs w:val="21"/>
        </w:rPr>
      </w:pPr>
      <w:bookmarkStart w:id="25" w:name="_Toc92799671"/>
      <w:r>
        <w:rPr>
          <w:rFonts w:hint="eastAsia" w:ascii="方正楷体简体" w:hAnsi="方正楷体简体" w:eastAsia="方正楷体简体" w:cs="方正楷体简体"/>
          <w:b w:val="0"/>
          <w:bCs w:val="0"/>
          <w:szCs w:val="21"/>
        </w:rPr>
        <w:t>（一）危险化学品风险防控能力提升工程</w:t>
      </w:r>
      <w:bookmarkEnd w:id="25"/>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危险化学品企业搬迁改造工程。按照《云南省城镇人口密集区危险化学品生产企业搬迁改造名单》，稳步推进云南铜业股份有限公司、云南云铜锌业股份有限公司搬迁入园，积极推动云南解化清洁能源开发有限公司解化化工分公司、云天化股份有限公司红磷分公司、昆明醋酸纤维有限公司搬迁入园工作。加强企业搬迁改造过程安全监管，确保搬迁改造工作平稳有序。</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危险化学品企业风险监测预警系统建设工程。依托省级危险化学品安全生产风险监测预警系统，推进州（市）级系统使用，所有具备接入条件的危险化学品企业完成重大危险源视频监控图像和监控数据接入工作，与国家安全生产监管“一张图”平台整合、融合，逐步建成危险化学品安全监管大数据平台，逐步实现信息互通、数据共享、在线巡查、监管执法、统一指挥、应急处置等功能。</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化工园区本质安全提升工程。开展化工园区安全风险排查评估分级，从规划、安全、环保、消防、信息化等专业角度，对园区土地规划、产业链发展及配套公用设施建设等方面进行全方位风险评估。推动物联网、大数据、云计算、人工智能（AI）、5G等新一代信息技术与化工园区安全风险管控深度融合，建设化工园区安全风险智能化管控平台，推进化工园区安全风险管控信息化、数字化、网络化、智能化。</w:t>
      </w:r>
    </w:p>
    <w:p>
      <w:pPr>
        <w:pStyle w:val="4"/>
        <w:spacing w:before="0" w:after="0" w:line="600" w:lineRule="exact"/>
        <w:ind w:left="573"/>
        <w:rPr>
          <w:rFonts w:ascii="方正楷体简体" w:hAnsi="方正楷体简体" w:eastAsia="方正楷体简体" w:cs="方正楷体简体"/>
          <w:b w:val="0"/>
          <w:bCs w:val="0"/>
          <w:szCs w:val="21"/>
        </w:rPr>
      </w:pPr>
      <w:bookmarkStart w:id="26" w:name="_Toc92799672"/>
      <w:r>
        <w:rPr>
          <w:rFonts w:hint="eastAsia" w:ascii="方正楷体简体" w:hAnsi="方正楷体简体" w:eastAsia="方正楷体简体" w:cs="方正楷体简体"/>
          <w:b w:val="0"/>
          <w:bCs w:val="0"/>
          <w:szCs w:val="21"/>
        </w:rPr>
        <w:t>（二）矿山安全基础能力夯实工程</w:t>
      </w:r>
      <w:bookmarkEnd w:id="26"/>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非煤矿山风险监测预警系统建设工程。通过互联网等手段采集地下生产矿山、边坡超200米的露天矿山、堆置高度超200米的排土场监测数据（包括：地下矿山安全避险系统等实时数据、露天矿山在线监测系统实时数据、堆置高度200米以上的排土场在线监测系统实时数据等及相关视频信息），实现非煤矿山事故隐患实时监测提醒和动态风险预警，达到风险分级管控目的。</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尾矿库风险监测预警系统建设工程。通过互联网等手段采集尾矿库监测数据（包括：库水位、降雨量、干滩长度、浸润线埋深、坝体位移、滩顶高程、安全超高等实时数据，排洪设施进出口流量等视频信息），同时按照国家应急管理部要求将数据分别上传至各级应急管理部门，实现尾矿库事故隐患实时监测提醒和尾矿库动态风险预警，达到风险分级管控目的。</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非煤矿山“电子封条”信息化管理系统建设工程。在长期停产、停建和正在实施关闭的非煤地下矿山安装“电子封条”，通过安装摄像机、图像分析终端、电子锁等设备，实现对关键地点、关键设备的远程监控。开发通用的矿山“电子封条”智能监管平台，联网接入矿端设备，远程监控矿井出入井人员和相关设备开停状态，智能分析异常情况和报警提示，实现自动报警和信息推送，便于各级监管部门及时发现和掌握企业生产状况。</w:t>
      </w:r>
    </w:p>
    <w:p>
      <w:pPr>
        <w:pStyle w:val="4"/>
        <w:spacing w:before="0" w:after="0" w:line="600" w:lineRule="exact"/>
        <w:ind w:left="573"/>
        <w:rPr>
          <w:rFonts w:ascii="方正楷体简体" w:hAnsi="方正楷体简体" w:eastAsia="方正楷体简体" w:cs="方正楷体简体"/>
          <w:b w:val="0"/>
          <w:bCs w:val="0"/>
          <w:szCs w:val="21"/>
        </w:rPr>
      </w:pPr>
      <w:bookmarkStart w:id="27" w:name="_Toc92799673"/>
      <w:r>
        <w:rPr>
          <w:rFonts w:hint="eastAsia" w:ascii="方正楷体简体" w:hAnsi="方正楷体简体" w:eastAsia="方正楷体简体" w:cs="方正楷体简体"/>
          <w:b w:val="0"/>
          <w:bCs w:val="0"/>
          <w:szCs w:val="21"/>
        </w:rPr>
        <w:t>（三）公路安全生命防护和危桥危隧改造治理工程</w:t>
      </w:r>
      <w:bookmarkEnd w:id="27"/>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实施公路安全生命防护工程，对存在事故隐患的路段开展安全生命防护工程建设，加强对高风险路段、交通事故多发点段治理。继续实施危桥危隧改造治理，提升路网管理领域安全保障能力。深化农村公路安全生命防护工程建设。深入排查治理农村公路平交路口、路侧险要路段、穿村过镇路段安全隐患，全面清理整治农村“马路市场”，推进支路进主路平交路口的“坡改平”工程，强化穿村过镇等高风险路段交通安全设施设置。加快推进普通国省道交通安全设施升级，在普通国省道全面开展文明示范路创建工程。</w:t>
      </w:r>
    </w:p>
    <w:p>
      <w:pPr>
        <w:pStyle w:val="4"/>
        <w:spacing w:before="0" w:after="0" w:line="600" w:lineRule="exact"/>
        <w:ind w:left="573"/>
        <w:rPr>
          <w:rFonts w:ascii="方正楷体简体" w:hAnsi="方正楷体简体" w:eastAsia="方正楷体简体" w:cs="方正楷体简体"/>
          <w:b w:val="0"/>
          <w:bCs w:val="0"/>
          <w:color w:val="FF0000"/>
          <w:szCs w:val="21"/>
          <w:u w:val="single"/>
        </w:rPr>
      </w:pPr>
      <w:bookmarkStart w:id="28" w:name="_Toc92799674"/>
      <w:r>
        <w:rPr>
          <w:rFonts w:hint="eastAsia" w:ascii="方正楷体简体" w:hAnsi="方正楷体简体" w:eastAsia="方正楷体简体" w:cs="方正楷体简体"/>
          <w:b w:val="0"/>
          <w:bCs w:val="0"/>
          <w:szCs w:val="21"/>
        </w:rPr>
        <w:t>（四）安全监管执法能力提升工程</w:t>
      </w:r>
      <w:bookmarkEnd w:id="28"/>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建立与经济社会发展、企业数量、安全形势相适应的安全监管执法力量配备机制。开展安全监管执法规范化、标准化建设，补充更新各级应急管理部门执法基本装备、取证装备和快检装备，重点配备智能化专业装备，充实执法执勤车辆，建设安全生产“互联网+执法”平台，推进手持执法终端应用。</w:t>
      </w:r>
    </w:p>
    <w:p>
      <w:pPr>
        <w:pStyle w:val="4"/>
        <w:spacing w:before="0" w:after="0" w:line="600" w:lineRule="exact"/>
        <w:ind w:left="573"/>
        <w:rPr>
          <w:rFonts w:ascii="方正楷体简体" w:hAnsi="方正楷体简体" w:eastAsia="方正楷体简体" w:cs="方正楷体简体"/>
          <w:b w:val="0"/>
          <w:bCs w:val="0"/>
          <w:szCs w:val="21"/>
        </w:rPr>
      </w:pPr>
      <w:bookmarkStart w:id="29" w:name="_Toc92799675"/>
      <w:r>
        <w:rPr>
          <w:rFonts w:hint="eastAsia" w:ascii="方正楷体简体" w:hAnsi="方正楷体简体" w:eastAsia="方正楷体简体" w:cs="方正楷体简体"/>
          <w:b w:val="0"/>
          <w:bCs w:val="0"/>
          <w:szCs w:val="21"/>
        </w:rPr>
        <w:t>（五）应急救援能力提升工程</w:t>
      </w:r>
      <w:bookmarkEnd w:id="29"/>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结合国家发展战略、“一带一路”建设的区位优势，根据全省经济社会安全发展形势和应急任务需要，规范各级各类应急救援队伍的机构设置、人员编成、办公用房、训练演练场地及设施设备、应急车辆及装备设备、器材物资等配置标准，推进矿山、危险化学品、烟花爆竹、道路交通（高速公路）、建筑施工、油气管道等行业领域应急救援队伍基地化、质量标准化规范化建设，以及水电铝、水电硅等绿色能源产业应急救援队伍建设，完成3至5个省级应急救援基地建设。</w:t>
      </w:r>
    </w:p>
    <w:p>
      <w:pPr>
        <w:pStyle w:val="4"/>
        <w:spacing w:before="0" w:after="0" w:line="600" w:lineRule="exact"/>
        <w:ind w:left="573"/>
        <w:rPr>
          <w:rFonts w:ascii="方正楷体简体" w:hAnsi="方正楷体简体" w:eastAsia="方正楷体简体" w:cs="方正楷体简体"/>
          <w:b w:val="0"/>
          <w:bCs w:val="0"/>
          <w:szCs w:val="21"/>
        </w:rPr>
      </w:pPr>
      <w:bookmarkStart w:id="30" w:name="_Toc92799676"/>
      <w:r>
        <w:rPr>
          <w:rFonts w:hint="eastAsia" w:ascii="方正楷体简体" w:hAnsi="方正楷体简体" w:eastAsia="方正楷体简体" w:cs="方正楷体简体"/>
          <w:b w:val="0"/>
          <w:bCs w:val="0"/>
          <w:szCs w:val="21"/>
        </w:rPr>
        <w:t>（六）安全教育实训能力提升工程</w:t>
      </w:r>
      <w:bookmarkEnd w:id="30"/>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筛选一批基础条件和师资力量较强的实际操作培训考试基地或职业院校（含技工院校），统筹各方面资源和政策进行重点支持建设。力争建成3个以上具有示范引领作用的实际操作培训考试基地，扶持2所左右专业特色鲜明、参与安全技能提升行动计划成效明显的职业院校，确保化工园区都有自建、共建或委托的具备实训条件的专业机构提供安全技能培训服务。</w:t>
      </w:r>
    </w:p>
    <w:p>
      <w:pPr>
        <w:pStyle w:val="3"/>
        <w:spacing w:before="0" w:after="0" w:line="600" w:lineRule="exact"/>
        <w:ind w:left="420" w:leftChars="200" w:firstLine="320" w:firstLineChars="100"/>
        <w:rPr>
          <w:rFonts w:eastAsia="黑体"/>
          <w:b w:val="0"/>
          <w:sz w:val="32"/>
          <w:szCs w:val="32"/>
          <w:shd w:val="clear" w:color="auto" w:fill="FFFFFF"/>
          <w:lang w:val="zh-CN"/>
        </w:rPr>
      </w:pPr>
      <w:bookmarkStart w:id="31" w:name="_Toc92799677"/>
      <w:bookmarkStart w:id="32" w:name="_Toc427531990"/>
      <w:r>
        <w:rPr>
          <w:rFonts w:hint="eastAsia" w:eastAsia="黑体"/>
          <w:b w:val="0"/>
          <w:sz w:val="32"/>
          <w:szCs w:val="32"/>
          <w:shd w:val="clear" w:color="auto" w:fill="FFFFFF"/>
          <w:lang w:val="zh-CN"/>
        </w:rPr>
        <w:t>五、保障措施</w:t>
      </w:r>
      <w:bookmarkEnd w:id="31"/>
      <w:bookmarkEnd w:id="32"/>
    </w:p>
    <w:p>
      <w:pPr>
        <w:pStyle w:val="4"/>
        <w:spacing w:before="0" w:after="0" w:line="600" w:lineRule="exact"/>
        <w:ind w:left="573"/>
        <w:rPr>
          <w:rFonts w:ascii="方正楷体简体" w:hAnsi="方正楷体简体" w:eastAsia="方正楷体简体" w:cs="方正楷体简体"/>
          <w:b w:val="0"/>
          <w:bCs w:val="0"/>
          <w:szCs w:val="21"/>
        </w:rPr>
      </w:pPr>
      <w:bookmarkStart w:id="33" w:name="_Toc92799678"/>
      <w:r>
        <w:rPr>
          <w:rFonts w:hint="eastAsia" w:ascii="方正楷体简体" w:hAnsi="方正楷体简体" w:eastAsia="方正楷体简体" w:cs="方正楷体简体"/>
          <w:b w:val="0"/>
          <w:bCs w:val="0"/>
          <w:szCs w:val="21"/>
        </w:rPr>
        <w:t>（一）加强组织领导</w:t>
      </w:r>
      <w:bookmarkEnd w:id="33"/>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各级党委、政府要坚持安全生产工作与经济社会发展同步推进，把安全发展与经济社会发展各项工作同步规划、同步部署。各州（市）人民政府和各有关部门要做好区域规划、部门规划与本规划的衔接，确保规划目标一致、任务统一、工程同步、政策配套。充分发挥各级安全生产委员会的作用，促进部门间协同联动和信息共享，协调解决规划实施中跨部门、跨行业的重大问题。</w:t>
      </w:r>
    </w:p>
    <w:p>
      <w:pPr>
        <w:pStyle w:val="4"/>
        <w:spacing w:before="0" w:after="0" w:line="600" w:lineRule="exact"/>
        <w:ind w:left="573"/>
        <w:rPr>
          <w:rFonts w:ascii="方正楷体简体" w:hAnsi="方正楷体简体" w:eastAsia="方正楷体简体" w:cs="方正楷体简体"/>
          <w:b w:val="0"/>
          <w:bCs w:val="0"/>
          <w:szCs w:val="21"/>
        </w:rPr>
      </w:pPr>
      <w:bookmarkStart w:id="34" w:name="_Toc92799679"/>
      <w:r>
        <w:rPr>
          <w:rFonts w:hint="eastAsia" w:ascii="方正楷体简体" w:hAnsi="方正楷体简体" w:eastAsia="方正楷体简体" w:cs="方正楷体简体"/>
          <w:b w:val="0"/>
          <w:bCs w:val="0"/>
          <w:szCs w:val="21"/>
        </w:rPr>
        <w:t>（二）加大政策支持</w:t>
      </w:r>
      <w:bookmarkEnd w:id="34"/>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落实并完善有利于安全生产的财政、税收、信贷政策，加大各级政府财力统筹力度，建立与安全监管工作相适应的投入保障制度，抓好安全生产专项资金使用管理，着力加强安全生产监管执法能力、安全生产信息化建设、重大安全风险防控与隐患治理等方面的投入，鼓励创业投资企业、股权投资企业和社会捐赠资金增加安全生产公益性投入。完善安全生产责任保险政策，切实发挥保险机构和专业技术服务机构参与风险评估管控和事故预防功能。完善煤矿、非煤矿山、危险化学品、烟花爆竹等生产企业退出转产扶持奖励政策。</w:t>
      </w:r>
    </w:p>
    <w:p>
      <w:pPr>
        <w:pStyle w:val="4"/>
        <w:spacing w:before="0" w:after="0" w:line="600" w:lineRule="exact"/>
        <w:ind w:left="573"/>
        <w:rPr>
          <w:rFonts w:ascii="方正楷体简体" w:hAnsi="方正楷体简体" w:eastAsia="方正楷体简体" w:cs="方正楷体简体"/>
          <w:b w:val="0"/>
          <w:bCs w:val="0"/>
          <w:szCs w:val="21"/>
        </w:rPr>
      </w:pPr>
      <w:bookmarkStart w:id="35" w:name="_Toc92799680"/>
      <w:r>
        <w:rPr>
          <w:rFonts w:hint="eastAsia" w:ascii="方正楷体简体" w:hAnsi="方正楷体简体" w:eastAsia="方正楷体简体" w:cs="方正楷体简体"/>
          <w:b w:val="0"/>
          <w:bCs w:val="0"/>
          <w:szCs w:val="21"/>
        </w:rPr>
        <w:t>（三）强化示范引领</w:t>
      </w:r>
      <w:bookmarkEnd w:id="35"/>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积极推进安全发展示范城市建设，广泛开展安全工业园区、安全社区、平安校园、文明家庭等安全工程创建活动，总结一批可复制、可推广的建设经验，充分发挥示范引领作用，带动推进全省安全发展各项工作，为实现高质量跨越式发展提供安全保障。</w:t>
      </w:r>
    </w:p>
    <w:p>
      <w:pPr>
        <w:pStyle w:val="4"/>
        <w:spacing w:before="0" w:after="0" w:line="600" w:lineRule="exact"/>
        <w:ind w:left="573"/>
        <w:rPr>
          <w:rFonts w:ascii="方正楷体简体" w:hAnsi="方正楷体简体" w:eastAsia="方正楷体简体" w:cs="方正楷体简体"/>
          <w:b w:val="0"/>
          <w:bCs w:val="0"/>
          <w:szCs w:val="21"/>
        </w:rPr>
      </w:pPr>
      <w:bookmarkStart w:id="36" w:name="_Toc92799681"/>
      <w:r>
        <w:rPr>
          <w:rFonts w:hint="eastAsia" w:ascii="方正楷体简体" w:hAnsi="方正楷体简体" w:eastAsia="方正楷体简体" w:cs="方正楷体简体"/>
          <w:b w:val="0"/>
          <w:bCs w:val="0"/>
          <w:szCs w:val="21"/>
        </w:rPr>
        <w:t>（四）严格考核评估</w:t>
      </w:r>
      <w:bookmarkEnd w:id="36"/>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各级政府和有关部门要将安全生产目标纳入经济社会发展综合评价和绩效考核体系，应急管理部门要建立完善安全生产考核指标体系，加强规划实施情况的动态监测和评估调整，定期公布各地区、各行业领域安全生产规划目标指标、重点工程项目实施进展情况。组织实施本规划考核评估，在2023年底和2025年底分别对本规划执行情况进行中期和终期评估考核。</w:t>
      </w:r>
    </w:p>
    <w:p>
      <w:pPr>
        <w:spacing w:line="560" w:lineRule="exact"/>
        <w:ind w:firstLine="420" w:firstLineChars="200"/>
      </w:pPr>
      <w:r>
        <w:br w:type="page"/>
      </w:r>
    </w:p>
    <w:p>
      <w:pPr>
        <w:pStyle w:val="3"/>
        <w:spacing w:before="0" w:after="0" w:line="600" w:lineRule="exact"/>
        <w:jc w:val="center"/>
        <w:rPr>
          <w:rFonts w:hAnsi="黑体" w:eastAsia="黑体"/>
          <w:b w:val="0"/>
          <w:sz w:val="36"/>
          <w:szCs w:val="36"/>
        </w:rPr>
      </w:pPr>
      <w:bookmarkStart w:id="37" w:name="_Toc89092894"/>
      <w:bookmarkStart w:id="38" w:name="_Toc90044761"/>
      <w:bookmarkStart w:id="39" w:name="_Toc92799682"/>
      <w:r>
        <w:rPr>
          <w:rFonts w:hint="eastAsia" w:ascii="方正小标宋简体" w:hAnsi="方正小标宋简体" w:eastAsia="方正小标宋简体" w:cs="方正小标宋简体"/>
          <w:b w:val="0"/>
          <w:sz w:val="36"/>
          <w:szCs w:val="36"/>
        </w:rPr>
        <w:t>名词解释</w:t>
      </w:r>
      <w:bookmarkEnd w:id="37"/>
      <w:bookmarkEnd w:id="38"/>
      <w:bookmarkEnd w:id="39"/>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一、“五进”：是指进企业、进农村、进社区、进学校、进家庭。</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二、“三合一、多合一”：“三合一”场所是指住宿与生产、仓储、经营一种或一种以上使用功能违章混合设置在同一空间内的建筑。“多合一”是指在上述基础上又有增加如：办公室，厨房等。</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三、“九小”：指小学校或幼儿园、小医院、小商店、小餐饮场所、小旅馆、小歌舞娱乐场所、小网吧、小美容洗浴场所、小生产加工企业的总称。</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四、“双随机、一公开”：是指在监管过程中随机抽取检查对象，随机选派执法检查人员，抽查情况及查处结果及时向社会公开。</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五、“三重一高”：是指重点监管的危险化学品、重点监管的危险化工工艺、重大危险源、油气管道途经人员密集场所高后果区</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六、“两重点一重大”：是指重点监管的危险化工工艺、重点监管的危险化学品和重大危险源。</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七、“五假五超三瞒三不”：“五假”：假整改、假密闭、假数据、假图纸、假报告；“五超"：超层越界、超能力、超强度、超定员、证照超期；“三瞒”：隐瞒作业地点、隐瞒作业人数、瞒报谎报事故；“三不”：不具备法定办矿条件、不经批准擅自复工复产、拒不执行指令仍然生产。</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八、“一优三减”：是指优化系统、减水平、减头面、减人员。</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九、“五化”：是指机械化、自动化、信息化、智能化、标准化。</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十、“四名一文一传”：是指历史文化名城、名镇、名街、名村，文物保护单位，传统村落。</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十一、“两客一危”：是指从事旅游的包车、三类以上班线客车和运输危险化学品、烟花爆竹、民用爆炸物品的道路专用车辆。</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十二、“四类重点船舶”：是指客船、危险品船、砂石船、易流态化固体散装货物运输船舶。</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十三、“两江”：是指澜沧江、金沙江。</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十四、“三超一改”：是指超人员、超药量、超许可范围、擅自改变工房用途。</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十五、“八大重点产业”：是指生物医药和大健康产业、旅游文化产业、信息产业、物流产业、高原特色现代农业产业、新材料产业、先进装备制造业、食品与消费品加工制造业。</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十六、“三张牌”：是指全力打造世界一流的‘绿色能源’‘绿色食品’‘健康生活目的地’</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七、“一个跨越、三个定位、五个着力”：2015年1月，习近平总书记在云南考察时指出，希望云南主动服务和融入国家发展战略,闯出一条跨越式发展的路子来，努力成为我国民族团结进步示范区、生态文明建设排头兵、面向南亚东南亚辐射中心，着力保持经济平稳健康发展，着力推进现代农业建设，着力推进生态环境保护，着力推动民族团结进步事业，着力发挥党组织作用，谱写好中国梦的云南篇章。</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八、“三级巡查”：即省、州（市）、县（市、区）三级应急管理部门根据辖区内八大行业企业分布、涉及的四大领域（金属冶炼、有限空间、粉尘涉爆、涉氨制冷）、十大风险类别、安全生产标准化建设与达标情况，结合实际工作重点、监管力量、工作经费、事故情况等，按照统筹兼顾、重点突出、量力而行的原则，分别确定相应数量的企业，制定巡查计划（包括目标、任务、内容、企业名称等）并公示，对相应的企业开展安全巡查监管。</w:t>
      </w:r>
    </w:p>
    <w:p>
      <w:pPr>
        <w:spacing w:line="60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十九、“四级预警”：是指将事故预警级别从高到低分为四级，分别用“红、橙、黄、蓝”四色标识，即一级（红色级）事故预警、二级（橙色级）事故预警、三级（黄色级）事故预警、四级（蓝色级）事故预警。</w:t>
      </w:r>
    </w:p>
    <w:sectPr>
      <w:headerReference r:id="rId5" w:type="default"/>
      <w:footerReference r:id="rId6" w:type="default"/>
      <w:pgSz w:w="11906" w:h="16838"/>
      <w:pgMar w:top="2041" w:right="1531" w:bottom="2041" w:left="1531" w:header="851" w:footer="992" w:gutter="0"/>
      <w:pgNumType w:fmt="numberInDash" w:start="1"/>
      <w:cols w:space="425"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vwsLgBAABU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UOK4xREdfv44PL0cnr+Td7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PavwsL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Arial" w:hAnsi="Arial" w:cs="Arial"/>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09"/>
    <w:rsid w:val="00000E04"/>
    <w:rsid w:val="00000EB9"/>
    <w:rsid w:val="000010DD"/>
    <w:rsid w:val="0000208D"/>
    <w:rsid w:val="0000276F"/>
    <w:rsid w:val="00002941"/>
    <w:rsid w:val="00003655"/>
    <w:rsid w:val="00003879"/>
    <w:rsid w:val="00004018"/>
    <w:rsid w:val="00004050"/>
    <w:rsid w:val="00004647"/>
    <w:rsid w:val="000049EB"/>
    <w:rsid w:val="0000507F"/>
    <w:rsid w:val="000052F0"/>
    <w:rsid w:val="000062DE"/>
    <w:rsid w:val="00006582"/>
    <w:rsid w:val="000068B5"/>
    <w:rsid w:val="00006A81"/>
    <w:rsid w:val="0000721B"/>
    <w:rsid w:val="0000745B"/>
    <w:rsid w:val="00007823"/>
    <w:rsid w:val="00007C56"/>
    <w:rsid w:val="000114AC"/>
    <w:rsid w:val="00011BE0"/>
    <w:rsid w:val="00011FE1"/>
    <w:rsid w:val="0001256D"/>
    <w:rsid w:val="000125AC"/>
    <w:rsid w:val="00012771"/>
    <w:rsid w:val="000128CC"/>
    <w:rsid w:val="00012AAD"/>
    <w:rsid w:val="00013BF3"/>
    <w:rsid w:val="000144DC"/>
    <w:rsid w:val="00014539"/>
    <w:rsid w:val="00016618"/>
    <w:rsid w:val="0001668A"/>
    <w:rsid w:val="00016802"/>
    <w:rsid w:val="00016B06"/>
    <w:rsid w:val="00017E03"/>
    <w:rsid w:val="000205EF"/>
    <w:rsid w:val="00020A56"/>
    <w:rsid w:val="00020C66"/>
    <w:rsid w:val="000217FF"/>
    <w:rsid w:val="0002376C"/>
    <w:rsid w:val="00024126"/>
    <w:rsid w:val="00024277"/>
    <w:rsid w:val="000249F3"/>
    <w:rsid w:val="00024CAF"/>
    <w:rsid w:val="00024F23"/>
    <w:rsid w:val="000250EA"/>
    <w:rsid w:val="00025283"/>
    <w:rsid w:val="00025719"/>
    <w:rsid w:val="00025B56"/>
    <w:rsid w:val="000260E2"/>
    <w:rsid w:val="0002708B"/>
    <w:rsid w:val="000274D9"/>
    <w:rsid w:val="00027BE0"/>
    <w:rsid w:val="000302BF"/>
    <w:rsid w:val="00030E95"/>
    <w:rsid w:val="0003224C"/>
    <w:rsid w:val="00032A86"/>
    <w:rsid w:val="00033954"/>
    <w:rsid w:val="00034327"/>
    <w:rsid w:val="00035510"/>
    <w:rsid w:val="000356E2"/>
    <w:rsid w:val="00035D60"/>
    <w:rsid w:val="000360A0"/>
    <w:rsid w:val="00036E78"/>
    <w:rsid w:val="000374E6"/>
    <w:rsid w:val="00040506"/>
    <w:rsid w:val="00040958"/>
    <w:rsid w:val="00041BB6"/>
    <w:rsid w:val="00042226"/>
    <w:rsid w:val="000425EF"/>
    <w:rsid w:val="00042C6C"/>
    <w:rsid w:val="00042DBE"/>
    <w:rsid w:val="00043048"/>
    <w:rsid w:val="00043BCB"/>
    <w:rsid w:val="00044334"/>
    <w:rsid w:val="000445CD"/>
    <w:rsid w:val="00044761"/>
    <w:rsid w:val="00044E50"/>
    <w:rsid w:val="000455FE"/>
    <w:rsid w:val="00045EED"/>
    <w:rsid w:val="00046BF5"/>
    <w:rsid w:val="000479D0"/>
    <w:rsid w:val="00047A71"/>
    <w:rsid w:val="00050F2E"/>
    <w:rsid w:val="0005170E"/>
    <w:rsid w:val="0005257A"/>
    <w:rsid w:val="00052C1E"/>
    <w:rsid w:val="00052DE5"/>
    <w:rsid w:val="00053B92"/>
    <w:rsid w:val="00053BA3"/>
    <w:rsid w:val="00053BBD"/>
    <w:rsid w:val="00053E81"/>
    <w:rsid w:val="000542CD"/>
    <w:rsid w:val="00057241"/>
    <w:rsid w:val="00057C25"/>
    <w:rsid w:val="00060073"/>
    <w:rsid w:val="000610F4"/>
    <w:rsid w:val="0006192D"/>
    <w:rsid w:val="00062182"/>
    <w:rsid w:val="00063034"/>
    <w:rsid w:val="000630D8"/>
    <w:rsid w:val="000632E0"/>
    <w:rsid w:val="00063AF2"/>
    <w:rsid w:val="00063F5C"/>
    <w:rsid w:val="00064CCE"/>
    <w:rsid w:val="00065F5D"/>
    <w:rsid w:val="00066011"/>
    <w:rsid w:val="00066785"/>
    <w:rsid w:val="00070526"/>
    <w:rsid w:val="00070A03"/>
    <w:rsid w:val="00070ACA"/>
    <w:rsid w:val="00070B9F"/>
    <w:rsid w:val="00071729"/>
    <w:rsid w:val="00071F98"/>
    <w:rsid w:val="00072DAD"/>
    <w:rsid w:val="00074727"/>
    <w:rsid w:val="00074E00"/>
    <w:rsid w:val="00075368"/>
    <w:rsid w:val="0007544F"/>
    <w:rsid w:val="000754D5"/>
    <w:rsid w:val="000757AA"/>
    <w:rsid w:val="00076465"/>
    <w:rsid w:val="0007651F"/>
    <w:rsid w:val="00076ACB"/>
    <w:rsid w:val="000771E3"/>
    <w:rsid w:val="00077CA0"/>
    <w:rsid w:val="00077EA4"/>
    <w:rsid w:val="000804B0"/>
    <w:rsid w:val="000807F9"/>
    <w:rsid w:val="00080892"/>
    <w:rsid w:val="000808DF"/>
    <w:rsid w:val="00080C2D"/>
    <w:rsid w:val="0008118B"/>
    <w:rsid w:val="00081F39"/>
    <w:rsid w:val="00083412"/>
    <w:rsid w:val="000838C7"/>
    <w:rsid w:val="00083C5A"/>
    <w:rsid w:val="00083F8D"/>
    <w:rsid w:val="0008405F"/>
    <w:rsid w:val="00085162"/>
    <w:rsid w:val="00085C85"/>
    <w:rsid w:val="00085D2D"/>
    <w:rsid w:val="00086761"/>
    <w:rsid w:val="00086925"/>
    <w:rsid w:val="00086946"/>
    <w:rsid w:val="00086A11"/>
    <w:rsid w:val="00086C1E"/>
    <w:rsid w:val="00087362"/>
    <w:rsid w:val="00087573"/>
    <w:rsid w:val="00091549"/>
    <w:rsid w:val="00091832"/>
    <w:rsid w:val="00091C2C"/>
    <w:rsid w:val="0009265E"/>
    <w:rsid w:val="00092806"/>
    <w:rsid w:val="00092C61"/>
    <w:rsid w:val="00092E09"/>
    <w:rsid w:val="00093307"/>
    <w:rsid w:val="00093DD3"/>
    <w:rsid w:val="00093F2E"/>
    <w:rsid w:val="0009456C"/>
    <w:rsid w:val="00094B92"/>
    <w:rsid w:val="00095E61"/>
    <w:rsid w:val="00095E6D"/>
    <w:rsid w:val="0009618C"/>
    <w:rsid w:val="00096831"/>
    <w:rsid w:val="00096ED6"/>
    <w:rsid w:val="00097179"/>
    <w:rsid w:val="00097561"/>
    <w:rsid w:val="000976B9"/>
    <w:rsid w:val="00097C41"/>
    <w:rsid w:val="000A037F"/>
    <w:rsid w:val="000A0B63"/>
    <w:rsid w:val="000A120D"/>
    <w:rsid w:val="000A2958"/>
    <w:rsid w:val="000A372B"/>
    <w:rsid w:val="000A3ADC"/>
    <w:rsid w:val="000A433F"/>
    <w:rsid w:val="000A4424"/>
    <w:rsid w:val="000A4DE3"/>
    <w:rsid w:val="000A4EA3"/>
    <w:rsid w:val="000A5574"/>
    <w:rsid w:val="000A5C5E"/>
    <w:rsid w:val="000A5DEF"/>
    <w:rsid w:val="000A68AD"/>
    <w:rsid w:val="000A6CA7"/>
    <w:rsid w:val="000A7316"/>
    <w:rsid w:val="000A7EB3"/>
    <w:rsid w:val="000B0041"/>
    <w:rsid w:val="000B0354"/>
    <w:rsid w:val="000B08EC"/>
    <w:rsid w:val="000B0B8A"/>
    <w:rsid w:val="000B0C4E"/>
    <w:rsid w:val="000B1A16"/>
    <w:rsid w:val="000B1E5D"/>
    <w:rsid w:val="000B1F09"/>
    <w:rsid w:val="000B20FD"/>
    <w:rsid w:val="000B31A7"/>
    <w:rsid w:val="000B423D"/>
    <w:rsid w:val="000B4AEC"/>
    <w:rsid w:val="000B5100"/>
    <w:rsid w:val="000B5450"/>
    <w:rsid w:val="000B54A6"/>
    <w:rsid w:val="000B5D40"/>
    <w:rsid w:val="000B6030"/>
    <w:rsid w:val="000B61FB"/>
    <w:rsid w:val="000B6764"/>
    <w:rsid w:val="000B685D"/>
    <w:rsid w:val="000B6B14"/>
    <w:rsid w:val="000B754D"/>
    <w:rsid w:val="000B7CC2"/>
    <w:rsid w:val="000B7D22"/>
    <w:rsid w:val="000C0204"/>
    <w:rsid w:val="000C0FB0"/>
    <w:rsid w:val="000C1E8A"/>
    <w:rsid w:val="000C289B"/>
    <w:rsid w:val="000C2B6A"/>
    <w:rsid w:val="000C2C15"/>
    <w:rsid w:val="000C32C2"/>
    <w:rsid w:val="000C3742"/>
    <w:rsid w:val="000C3C92"/>
    <w:rsid w:val="000C40F7"/>
    <w:rsid w:val="000C5851"/>
    <w:rsid w:val="000C5BBF"/>
    <w:rsid w:val="000C6100"/>
    <w:rsid w:val="000C6397"/>
    <w:rsid w:val="000C6559"/>
    <w:rsid w:val="000C695E"/>
    <w:rsid w:val="000C6CD0"/>
    <w:rsid w:val="000C6E5C"/>
    <w:rsid w:val="000D065C"/>
    <w:rsid w:val="000D08A7"/>
    <w:rsid w:val="000D106E"/>
    <w:rsid w:val="000D1B79"/>
    <w:rsid w:val="000D1BCF"/>
    <w:rsid w:val="000D2125"/>
    <w:rsid w:val="000D28AC"/>
    <w:rsid w:val="000D2EEC"/>
    <w:rsid w:val="000D35E6"/>
    <w:rsid w:val="000D39A7"/>
    <w:rsid w:val="000D3B09"/>
    <w:rsid w:val="000D416F"/>
    <w:rsid w:val="000D4AD5"/>
    <w:rsid w:val="000D503A"/>
    <w:rsid w:val="000D5650"/>
    <w:rsid w:val="000D5A30"/>
    <w:rsid w:val="000D5E18"/>
    <w:rsid w:val="000D6A81"/>
    <w:rsid w:val="000D6E44"/>
    <w:rsid w:val="000E0383"/>
    <w:rsid w:val="000E0470"/>
    <w:rsid w:val="000E0C71"/>
    <w:rsid w:val="000E0FEC"/>
    <w:rsid w:val="000E10BF"/>
    <w:rsid w:val="000E1BBD"/>
    <w:rsid w:val="000E1E27"/>
    <w:rsid w:val="000E20E3"/>
    <w:rsid w:val="000E27AC"/>
    <w:rsid w:val="000E3982"/>
    <w:rsid w:val="000E4864"/>
    <w:rsid w:val="000E4DA6"/>
    <w:rsid w:val="000E5006"/>
    <w:rsid w:val="000E5D5E"/>
    <w:rsid w:val="000E6995"/>
    <w:rsid w:val="000E74F0"/>
    <w:rsid w:val="000F03F8"/>
    <w:rsid w:val="000F05CE"/>
    <w:rsid w:val="000F07AF"/>
    <w:rsid w:val="000F0C37"/>
    <w:rsid w:val="000F1189"/>
    <w:rsid w:val="000F1CAC"/>
    <w:rsid w:val="000F236A"/>
    <w:rsid w:val="000F3E4A"/>
    <w:rsid w:val="000F6098"/>
    <w:rsid w:val="000F668D"/>
    <w:rsid w:val="000F6947"/>
    <w:rsid w:val="000F6950"/>
    <w:rsid w:val="000F6B6F"/>
    <w:rsid w:val="000F7144"/>
    <w:rsid w:val="000F7BCA"/>
    <w:rsid w:val="000F7CC3"/>
    <w:rsid w:val="001002A4"/>
    <w:rsid w:val="00101797"/>
    <w:rsid w:val="00101B14"/>
    <w:rsid w:val="00102837"/>
    <w:rsid w:val="00102C3A"/>
    <w:rsid w:val="00102E16"/>
    <w:rsid w:val="00102EDF"/>
    <w:rsid w:val="00102F25"/>
    <w:rsid w:val="00103194"/>
    <w:rsid w:val="001037B8"/>
    <w:rsid w:val="001037F0"/>
    <w:rsid w:val="00103AB3"/>
    <w:rsid w:val="00104973"/>
    <w:rsid w:val="00104F47"/>
    <w:rsid w:val="0010524E"/>
    <w:rsid w:val="001053E6"/>
    <w:rsid w:val="00105510"/>
    <w:rsid w:val="001055F9"/>
    <w:rsid w:val="001063FA"/>
    <w:rsid w:val="00106D80"/>
    <w:rsid w:val="00107258"/>
    <w:rsid w:val="001075B9"/>
    <w:rsid w:val="0010786D"/>
    <w:rsid w:val="001105C5"/>
    <w:rsid w:val="00111A90"/>
    <w:rsid w:val="00111AAF"/>
    <w:rsid w:val="0011213A"/>
    <w:rsid w:val="00112237"/>
    <w:rsid w:val="00112B7C"/>
    <w:rsid w:val="00112C8E"/>
    <w:rsid w:val="00112C8F"/>
    <w:rsid w:val="0011414B"/>
    <w:rsid w:val="00114377"/>
    <w:rsid w:val="00114618"/>
    <w:rsid w:val="001146A3"/>
    <w:rsid w:val="001147BF"/>
    <w:rsid w:val="00115A37"/>
    <w:rsid w:val="00116EEA"/>
    <w:rsid w:val="00116F9D"/>
    <w:rsid w:val="001176DE"/>
    <w:rsid w:val="00117712"/>
    <w:rsid w:val="00117811"/>
    <w:rsid w:val="001201D0"/>
    <w:rsid w:val="00120241"/>
    <w:rsid w:val="0012043F"/>
    <w:rsid w:val="001206CA"/>
    <w:rsid w:val="00120EBE"/>
    <w:rsid w:val="00120F0D"/>
    <w:rsid w:val="00121437"/>
    <w:rsid w:val="00121C80"/>
    <w:rsid w:val="0012360C"/>
    <w:rsid w:val="0012490A"/>
    <w:rsid w:val="00125741"/>
    <w:rsid w:val="00125EF7"/>
    <w:rsid w:val="00126233"/>
    <w:rsid w:val="00126520"/>
    <w:rsid w:val="00126996"/>
    <w:rsid w:val="00126B22"/>
    <w:rsid w:val="00126BF3"/>
    <w:rsid w:val="001273F8"/>
    <w:rsid w:val="00130855"/>
    <w:rsid w:val="001309B1"/>
    <w:rsid w:val="001311CC"/>
    <w:rsid w:val="00131996"/>
    <w:rsid w:val="00131AA0"/>
    <w:rsid w:val="0013205D"/>
    <w:rsid w:val="00133C73"/>
    <w:rsid w:val="00134638"/>
    <w:rsid w:val="001354A3"/>
    <w:rsid w:val="0013558C"/>
    <w:rsid w:val="001357CB"/>
    <w:rsid w:val="001363B3"/>
    <w:rsid w:val="00136432"/>
    <w:rsid w:val="00136B81"/>
    <w:rsid w:val="00136DD5"/>
    <w:rsid w:val="00136F9C"/>
    <w:rsid w:val="00137116"/>
    <w:rsid w:val="00140613"/>
    <w:rsid w:val="00140955"/>
    <w:rsid w:val="00140D36"/>
    <w:rsid w:val="00140F50"/>
    <w:rsid w:val="00141568"/>
    <w:rsid w:val="00141815"/>
    <w:rsid w:val="00141DB9"/>
    <w:rsid w:val="001433CB"/>
    <w:rsid w:val="00144090"/>
    <w:rsid w:val="0014422B"/>
    <w:rsid w:val="00145BB7"/>
    <w:rsid w:val="0014696A"/>
    <w:rsid w:val="001469D9"/>
    <w:rsid w:val="00146E7A"/>
    <w:rsid w:val="00146FDD"/>
    <w:rsid w:val="00147AC8"/>
    <w:rsid w:val="00147DD8"/>
    <w:rsid w:val="0015000F"/>
    <w:rsid w:val="00150D00"/>
    <w:rsid w:val="00150DBC"/>
    <w:rsid w:val="00150F54"/>
    <w:rsid w:val="001512E9"/>
    <w:rsid w:val="00151649"/>
    <w:rsid w:val="0015262C"/>
    <w:rsid w:val="0015381B"/>
    <w:rsid w:val="00153DEF"/>
    <w:rsid w:val="00154388"/>
    <w:rsid w:val="00154569"/>
    <w:rsid w:val="00154748"/>
    <w:rsid w:val="00154EE2"/>
    <w:rsid w:val="001553C1"/>
    <w:rsid w:val="0015585B"/>
    <w:rsid w:val="00155FE4"/>
    <w:rsid w:val="0015622C"/>
    <w:rsid w:val="00156270"/>
    <w:rsid w:val="00156FC4"/>
    <w:rsid w:val="001573D5"/>
    <w:rsid w:val="0015773B"/>
    <w:rsid w:val="00157CF1"/>
    <w:rsid w:val="00160D6D"/>
    <w:rsid w:val="00160EBA"/>
    <w:rsid w:val="00160EC1"/>
    <w:rsid w:val="00160FD9"/>
    <w:rsid w:val="00161141"/>
    <w:rsid w:val="0016324D"/>
    <w:rsid w:val="0016567A"/>
    <w:rsid w:val="00165B6A"/>
    <w:rsid w:val="00165C35"/>
    <w:rsid w:val="001663AD"/>
    <w:rsid w:val="001664F8"/>
    <w:rsid w:val="0016759B"/>
    <w:rsid w:val="00167A15"/>
    <w:rsid w:val="00167D05"/>
    <w:rsid w:val="00167E82"/>
    <w:rsid w:val="00170092"/>
    <w:rsid w:val="00171B4C"/>
    <w:rsid w:val="00172A27"/>
    <w:rsid w:val="001741F6"/>
    <w:rsid w:val="001746E2"/>
    <w:rsid w:val="00174F18"/>
    <w:rsid w:val="00176FB5"/>
    <w:rsid w:val="001777BC"/>
    <w:rsid w:val="00180413"/>
    <w:rsid w:val="001809D1"/>
    <w:rsid w:val="00181281"/>
    <w:rsid w:val="001814DE"/>
    <w:rsid w:val="0018160E"/>
    <w:rsid w:val="00181CDA"/>
    <w:rsid w:val="001824C1"/>
    <w:rsid w:val="00182D4D"/>
    <w:rsid w:val="00182EF0"/>
    <w:rsid w:val="00183697"/>
    <w:rsid w:val="001836BE"/>
    <w:rsid w:val="00183C04"/>
    <w:rsid w:val="00183F25"/>
    <w:rsid w:val="001841CF"/>
    <w:rsid w:val="0018469A"/>
    <w:rsid w:val="00184AE6"/>
    <w:rsid w:val="00184C07"/>
    <w:rsid w:val="00184F29"/>
    <w:rsid w:val="001851B8"/>
    <w:rsid w:val="00185206"/>
    <w:rsid w:val="00185B16"/>
    <w:rsid w:val="00186B09"/>
    <w:rsid w:val="0018727B"/>
    <w:rsid w:val="00190D4B"/>
    <w:rsid w:val="001915D0"/>
    <w:rsid w:val="0019224B"/>
    <w:rsid w:val="00192691"/>
    <w:rsid w:val="00192CC0"/>
    <w:rsid w:val="00193A64"/>
    <w:rsid w:val="00193ED7"/>
    <w:rsid w:val="00193EDD"/>
    <w:rsid w:val="0019473A"/>
    <w:rsid w:val="00194BEA"/>
    <w:rsid w:val="00194F7D"/>
    <w:rsid w:val="001951D2"/>
    <w:rsid w:val="00195527"/>
    <w:rsid w:val="0019555C"/>
    <w:rsid w:val="00195865"/>
    <w:rsid w:val="0019597A"/>
    <w:rsid w:val="00195A57"/>
    <w:rsid w:val="001965A1"/>
    <w:rsid w:val="00196BD6"/>
    <w:rsid w:val="00197331"/>
    <w:rsid w:val="001A0818"/>
    <w:rsid w:val="001A0FEE"/>
    <w:rsid w:val="001A1853"/>
    <w:rsid w:val="001A2409"/>
    <w:rsid w:val="001A24EA"/>
    <w:rsid w:val="001A27C2"/>
    <w:rsid w:val="001A2B43"/>
    <w:rsid w:val="001A2E65"/>
    <w:rsid w:val="001A2EF3"/>
    <w:rsid w:val="001A31C2"/>
    <w:rsid w:val="001A3A37"/>
    <w:rsid w:val="001A3DE2"/>
    <w:rsid w:val="001A4463"/>
    <w:rsid w:val="001A4755"/>
    <w:rsid w:val="001A5195"/>
    <w:rsid w:val="001A5626"/>
    <w:rsid w:val="001A5A2B"/>
    <w:rsid w:val="001A5C7C"/>
    <w:rsid w:val="001A6696"/>
    <w:rsid w:val="001A6801"/>
    <w:rsid w:val="001A73CF"/>
    <w:rsid w:val="001A770A"/>
    <w:rsid w:val="001A79EE"/>
    <w:rsid w:val="001B02A8"/>
    <w:rsid w:val="001B073A"/>
    <w:rsid w:val="001B0A1A"/>
    <w:rsid w:val="001B0B3A"/>
    <w:rsid w:val="001B0DDA"/>
    <w:rsid w:val="001B12B3"/>
    <w:rsid w:val="001B1410"/>
    <w:rsid w:val="001B1573"/>
    <w:rsid w:val="001B1615"/>
    <w:rsid w:val="001B1FCE"/>
    <w:rsid w:val="001B24A7"/>
    <w:rsid w:val="001B2D64"/>
    <w:rsid w:val="001B3032"/>
    <w:rsid w:val="001B375B"/>
    <w:rsid w:val="001B3CBA"/>
    <w:rsid w:val="001B406A"/>
    <w:rsid w:val="001B4F92"/>
    <w:rsid w:val="001B543A"/>
    <w:rsid w:val="001B5715"/>
    <w:rsid w:val="001B5C53"/>
    <w:rsid w:val="001B6288"/>
    <w:rsid w:val="001B699C"/>
    <w:rsid w:val="001B6ADC"/>
    <w:rsid w:val="001B6BD4"/>
    <w:rsid w:val="001B749D"/>
    <w:rsid w:val="001B77C5"/>
    <w:rsid w:val="001B7818"/>
    <w:rsid w:val="001C02F8"/>
    <w:rsid w:val="001C05BC"/>
    <w:rsid w:val="001C082F"/>
    <w:rsid w:val="001C1061"/>
    <w:rsid w:val="001C1CE7"/>
    <w:rsid w:val="001C1ECC"/>
    <w:rsid w:val="001C229D"/>
    <w:rsid w:val="001C242E"/>
    <w:rsid w:val="001C275F"/>
    <w:rsid w:val="001C33F8"/>
    <w:rsid w:val="001C3578"/>
    <w:rsid w:val="001C35B6"/>
    <w:rsid w:val="001C3990"/>
    <w:rsid w:val="001C3E26"/>
    <w:rsid w:val="001C48D7"/>
    <w:rsid w:val="001C4A98"/>
    <w:rsid w:val="001C4B14"/>
    <w:rsid w:val="001C4C8E"/>
    <w:rsid w:val="001C50D0"/>
    <w:rsid w:val="001C588D"/>
    <w:rsid w:val="001C64C8"/>
    <w:rsid w:val="001C65CA"/>
    <w:rsid w:val="001C68C4"/>
    <w:rsid w:val="001C6B4B"/>
    <w:rsid w:val="001C7C0B"/>
    <w:rsid w:val="001D0086"/>
    <w:rsid w:val="001D0287"/>
    <w:rsid w:val="001D076E"/>
    <w:rsid w:val="001D0948"/>
    <w:rsid w:val="001D1589"/>
    <w:rsid w:val="001D15A0"/>
    <w:rsid w:val="001D1B31"/>
    <w:rsid w:val="001D1C74"/>
    <w:rsid w:val="001D1D88"/>
    <w:rsid w:val="001D3588"/>
    <w:rsid w:val="001D372F"/>
    <w:rsid w:val="001D4030"/>
    <w:rsid w:val="001D4450"/>
    <w:rsid w:val="001D455F"/>
    <w:rsid w:val="001D4EF4"/>
    <w:rsid w:val="001D52AC"/>
    <w:rsid w:val="001D66A1"/>
    <w:rsid w:val="001D671D"/>
    <w:rsid w:val="001D767C"/>
    <w:rsid w:val="001D78C0"/>
    <w:rsid w:val="001E0D22"/>
    <w:rsid w:val="001E0ECA"/>
    <w:rsid w:val="001E170A"/>
    <w:rsid w:val="001E1A72"/>
    <w:rsid w:val="001E236E"/>
    <w:rsid w:val="001E2E25"/>
    <w:rsid w:val="001E30C0"/>
    <w:rsid w:val="001E3403"/>
    <w:rsid w:val="001E35E4"/>
    <w:rsid w:val="001E3644"/>
    <w:rsid w:val="001E3A20"/>
    <w:rsid w:val="001E3B74"/>
    <w:rsid w:val="001E3F1D"/>
    <w:rsid w:val="001E47F1"/>
    <w:rsid w:val="001E57C9"/>
    <w:rsid w:val="001E5D98"/>
    <w:rsid w:val="001E5E38"/>
    <w:rsid w:val="001E6106"/>
    <w:rsid w:val="001E66C4"/>
    <w:rsid w:val="001E6F32"/>
    <w:rsid w:val="001F009D"/>
    <w:rsid w:val="001F01D4"/>
    <w:rsid w:val="001F03CE"/>
    <w:rsid w:val="001F09B7"/>
    <w:rsid w:val="001F1141"/>
    <w:rsid w:val="001F1424"/>
    <w:rsid w:val="001F15A4"/>
    <w:rsid w:val="001F1CE4"/>
    <w:rsid w:val="001F22A6"/>
    <w:rsid w:val="001F2A19"/>
    <w:rsid w:val="001F2E54"/>
    <w:rsid w:val="001F3622"/>
    <w:rsid w:val="001F3B23"/>
    <w:rsid w:val="001F416C"/>
    <w:rsid w:val="001F4219"/>
    <w:rsid w:val="001F43B7"/>
    <w:rsid w:val="001F472D"/>
    <w:rsid w:val="001F4940"/>
    <w:rsid w:val="001F4C74"/>
    <w:rsid w:val="001F4E0E"/>
    <w:rsid w:val="001F53A9"/>
    <w:rsid w:val="001F5C61"/>
    <w:rsid w:val="001F5C6C"/>
    <w:rsid w:val="001F5EF2"/>
    <w:rsid w:val="001F7560"/>
    <w:rsid w:val="001F77D1"/>
    <w:rsid w:val="001F77DB"/>
    <w:rsid w:val="001F78F8"/>
    <w:rsid w:val="001F7B66"/>
    <w:rsid w:val="001F7D9C"/>
    <w:rsid w:val="001F7F23"/>
    <w:rsid w:val="00200439"/>
    <w:rsid w:val="00200640"/>
    <w:rsid w:val="00200F22"/>
    <w:rsid w:val="00201146"/>
    <w:rsid w:val="002026B4"/>
    <w:rsid w:val="00202CC4"/>
    <w:rsid w:val="0020318F"/>
    <w:rsid w:val="002036C9"/>
    <w:rsid w:val="00203ADE"/>
    <w:rsid w:val="002040A2"/>
    <w:rsid w:val="00204C20"/>
    <w:rsid w:val="002050C3"/>
    <w:rsid w:val="00205ABA"/>
    <w:rsid w:val="00205B0B"/>
    <w:rsid w:val="00205FD8"/>
    <w:rsid w:val="00207041"/>
    <w:rsid w:val="00207361"/>
    <w:rsid w:val="00207497"/>
    <w:rsid w:val="00207E3A"/>
    <w:rsid w:val="002109C6"/>
    <w:rsid w:val="00210D1B"/>
    <w:rsid w:val="00211235"/>
    <w:rsid w:val="002112BE"/>
    <w:rsid w:val="00211EAE"/>
    <w:rsid w:val="0021306B"/>
    <w:rsid w:val="00213676"/>
    <w:rsid w:val="002138D2"/>
    <w:rsid w:val="00214209"/>
    <w:rsid w:val="0021605F"/>
    <w:rsid w:val="002168BC"/>
    <w:rsid w:val="00216A8D"/>
    <w:rsid w:val="00216F10"/>
    <w:rsid w:val="00217CD5"/>
    <w:rsid w:val="00220A06"/>
    <w:rsid w:val="00221534"/>
    <w:rsid w:val="00221CC5"/>
    <w:rsid w:val="0022279A"/>
    <w:rsid w:val="0022327F"/>
    <w:rsid w:val="0022348E"/>
    <w:rsid w:val="00223509"/>
    <w:rsid w:val="002235DD"/>
    <w:rsid w:val="0022363F"/>
    <w:rsid w:val="0022467B"/>
    <w:rsid w:val="00224AD5"/>
    <w:rsid w:val="00224BE9"/>
    <w:rsid w:val="00224EBC"/>
    <w:rsid w:val="00225003"/>
    <w:rsid w:val="00225A06"/>
    <w:rsid w:val="002264C6"/>
    <w:rsid w:val="002273E1"/>
    <w:rsid w:val="00227CA8"/>
    <w:rsid w:val="002304D0"/>
    <w:rsid w:val="00231BBD"/>
    <w:rsid w:val="002335BF"/>
    <w:rsid w:val="002339A3"/>
    <w:rsid w:val="00234031"/>
    <w:rsid w:val="002350DA"/>
    <w:rsid w:val="002351A1"/>
    <w:rsid w:val="0023681B"/>
    <w:rsid w:val="00236E49"/>
    <w:rsid w:val="00237EC3"/>
    <w:rsid w:val="002400BB"/>
    <w:rsid w:val="00240216"/>
    <w:rsid w:val="0024161E"/>
    <w:rsid w:val="00241FB6"/>
    <w:rsid w:val="002425B5"/>
    <w:rsid w:val="002439B3"/>
    <w:rsid w:val="002442A3"/>
    <w:rsid w:val="002442DB"/>
    <w:rsid w:val="00244652"/>
    <w:rsid w:val="00244C7E"/>
    <w:rsid w:val="00244ECB"/>
    <w:rsid w:val="0024530D"/>
    <w:rsid w:val="00245777"/>
    <w:rsid w:val="002467A9"/>
    <w:rsid w:val="00246DCB"/>
    <w:rsid w:val="00247052"/>
    <w:rsid w:val="002470CC"/>
    <w:rsid w:val="002474D3"/>
    <w:rsid w:val="00247771"/>
    <w:rsid w:val="00247D18"/>
    <w:rsid w:val="0025025E"/>
    <w:rsid w:val="00250D5D"/>
    <w:rsid w:val="0025166F"/>
    <w:rsid w:val="002521D3"/>
    <w:rsid w:val="00252A3F"/>
    <w:rsid w:val="00253C0C"/>
    <w:rsid w:val="002548C6"/>
    <w:rsid w:val="00254F17"/>
    <w:rsid w:val="0025517B"/>
    <w:rsid w:val="00255FA9"/>
    <w:rsid w:val="00256240"/>
    <w:rsid w:val="00256C75"/>
    <w:rsid w:val="00257578"/>
    <w:rsid w:val="002576DF"/>
    <w:rsid w:val="00260452"/>
    <w:rsid w:val="0026054C"/>
    <w:rsid w:val="00260EDA"/>
    <w:rsid w:val="00261015"/>
    <w:rsid w:val="0026104B"/>
    <w:rsid w:val="0026141B"/>
    <w:rsid w:val="00263314"/>
    <w:rsid w:val="00263884"/>
    <w:rsid w:val="00263A61"/>
    <w:rsid w:val="00263BF6"/>
    <w:rsid w:val="00263CDF"/>
    <w:rsid w:val="00263D69"/>
    <w:rsid w:val="00264121"/>
    <w:rsid w:val="00265921"/>
    <w:rsid w:val="00265EED"/>
    <w:rsid w:val="00266A51"/>
    <w:rsid w:val="002671B9"/>
    <w:rsid w:val="002671CD"/>
    <w:rsid w:val="002675BC"/>
    <w:rsid w:val="00267F21"/>
    <w:rsid w:val="00270190"/>
    <w:rsid w:val="00270A81"/>
    <w:rsid w:val="00270A82"/>
    <w:rsid w:val="00270ADE"/>
    <w:rsid w:val="00270C81"/>
    <w:rsid w:val="00270F5B"/>
    <w:rsid w:val="00271975"/>
    <w:rsid w:val="00272165"/>
    <w:rsid w:val="00274183"/>
    <w:rsid w:val="00274BC4"/>
    <w:rsid w:val="002750D3"/>
    <w:rsid w:val="00275937"/>
    <w:rsid w:val="00275DE9"/>
    <w:rsid w:val="0027742D"/>
    <w:rsid w:val="0027782C"/>
    <w:rsid w:val="00277934"/>
    <w:rsid w:val="00280690"/>
    <w:rsid w:val="00280B02"/>
    <w:rsid w:val="00281A11"/>
    <w:rsid w:val="00281E88"/>
    <w:rsid w:val="0028217A"/>
    <w:rsid w:val="00282787"/>
    <w:rsid w:val="00282C11"/>
    <w:rsid w:val="002835D3"/>
    <w:rsid w:val="00283D0D"/>
    <w:rsid w:val="0028473F"/>
    <w:rsid w:val="00285631"/>
    <w:rsid w:val="0028565E"/>
    <w:rsid w:val="00286404"/>
    <w:rsid w:val="0028692F"/>
    <w:rsid w:val="00287F72"/>
    <w:rsid w:val="002900CA"/>
    <w:rsid w:val="00290C1B"/>
    <w:rsid w:val="002916EB"/>
    <w:rsid w:val="002917F5"/>
    <w:rsid w:val="002918AB"/>
    <w:rsid w:val="00291A59"/>
    <w:rsid w:val="00291EA2"/>
    <w:rsid w:val="002929A0"/>
    <w:rsid w:val="00293017"/>
    <w:rsid w:val="00293792"/>
    <w:rsid w:val="00293881"/>
    <w:rsid w:val="00293B0E"/>
    <w:rsid w:val="00293BA2"/>
    <w:rsid w:val="00294125"/>
    <w:rsid w:val="00294D6A"/>
    <w:rsid w:val="002951BA"/>
    <w:rsid w:val="00295A0C"/>
    <w:rsid w:val="00297762"/>
    <w:rsid w:val="00297BC1"/>
    <w:rsid w:val="00297D3D"/>
    <w:rsid w:val="002A03A5"/>
    <w:rsid w:val="002A0A65"/>
    <w:rsid w:val="002A1AB0"/>
    <w:rsid w:val="002A28DD"/>
    <w:rsid w:val="002A2C84"/>
    <w:rsid w:val="002A31B2"/>
    <w:rsid w:val="002A37DD"/>
    <w:rsid w:val="002A41B6"/>
    <w:rsid w:val="002A4392"/>
    <w:rsid w:val="002A52D6"/>
    <w:rsid w:val="002A53C7"/>
    <w:rsid w:val="002A545A"/>
    <w:rsid w:val="002A5F1D"/>
    <w:rsid w:val="002A60E1"/>
    <w:rsid w:val="002A62D2"/>
    <w:rsid w:val="002A7094"/>
    <w:rsid w:val="002A7320"/>
    <w:rsid w:val="002A7CBA"/>
    <w:rsid w:val="002B0637"/>
    <w:rsid w:val="002B0678"/>
    <w:rsid w:val="002B0C55"/>
    <w:rsid w:val="002B0F9E"/>
    <w:rsid w:val="002B1CBE"/>
    <w:rsid w:val="002B1E19"/>
    <w:rsid w:val="002B24A6"/>
    <w:rsid w:val="002B27E6"/>
    <w:rsid w:val="002B31A6"/>
    <w:rsid w:val="002B353D"/>
    <w:rsid w:val="002B4340"/>
    <w:rsid w:val="002B43A6"/>
    <w:rsid w:val="002B477D"/>
    <w:rsid w:val="002B4914"/>
    <w:rsid w:val="002B5730"/>
    <w:rsid w:val="002B5850"/>
    <w:rsid w:val="002B5C41"/>
    <w:rsid w:val="002B6854"/>
    <w:rsid w:val="002B773A"/>
    <w:rsid w:val="002B79CC"/>
    <w:rsid w:val="002B7E79"/>
    <w:rsid w:val="002C02FD"/>
    <w:rsid w:val="002C0740"/>
    <w:rsid w:val="002C0929"/>
    <w:rsid w:val="002C0A4B"/>
    <w:rsid w:val="002C0DAF"/>
    <w:rsid w:val="002C1272"/>
    <w:rsid w:val="002C13EB"/>
    <w:rsid w:val="002C1F6D"/>
    <w:rsid w:val="002C2394"/>
    <w:rsid w:val="002C370F"/>
    <w:rsid w:val="002C408F"/>
    <w:rsid w:val="002C5C97"/>
    <w:rsid w:val="002C5D84"/>
    <w:rsid w:val="002C66B9"/>
    <w:rsid w:val="002C7519"/>
    <w:rsid w:val="002C7F7F"/>
    <w:rsid w:val="002D09D4"/>
    <w:rsid w:val="002D0FEB"/>
    <w:rsid w:val="002D1034"/>
    <w:rsid w:val="002D129A"/>
    <w:rsid w:val="002D174A"/>
    <w:rsid w:val="002D1A82"/>
    <w:rsid w:val="002D2467"/>
    <w:rsid w:val="002D2B8D"/>
    <w:rsid w:val="002D32E5"/>
    <w:rsid w:val="002D4D4C"/>
    <w:rsid w:val="002D5170"/>
    <w:rsid w:val="002D53A2"/>
    <w:rsid w:val="002D5997"/>
    <w:rsid w:val="002D62EA"/>
    <w:rsid w:val="002D63B1"/>
    <w:rsid w:val="002D6C5A"/>
    <w:rsid w:val="002D6C82"/>
    <w:rsid w:val="002D75D4"/>
    <w:rsid w:val="002E08BC"/>
    <w:rsid w:val="002E0C78"/>
    <w:rsid w:val="002E220B"/>
    <w:rsid w:val="002E254E"/>
    <w:rsid w:val="002E27E2"/>
    <w:rsid w:val="002E28C2"/>
    <w:rsid w:val="002E3319"/>
    <w:rsid w:val="002E346D"/>
    <w:rsid w:val="002E367E"/>
    <w:rsid w:val="002E3918"/>
    <w:rsid w:val="002E394B"/>
    <w:rsid w:val="002E40BD"/>
    <w:rsid w:val="002E4617"/>
    <w:rsid w:val="002E50AA"/>
    <w:rsid w:val="002E5934"/>
    <w:rsid w:val="002E5C20"/>
    <w:rsid w:val="002E5C9B"/>
    <w:rsid w:val="002E600B"/>
    <w:rsid w:val="002E663E"/>
    <w:rsid w:val="002E6A45"/>
    <w:rsid w:val="002E7C4B"/>
    <w:rsid w:val="002E7EDE"/>
    <w:rsid w:val="002F08F9"/>
    <w:rsid w:val="002F0D3C"/>
    <w:rsid w:val="002F0D7B"/>
    <w:rsid w:val="002F1833"/>
    <w:rsid w:val="002F2C07"/>
    <w:rsid w:val="002F3640"/>
    <w:rsid w:val="002F3816"/>
    <w:rsid w:val="002F3C94"/>
    <w:rsid w:val="002F3D95"/>
    <w:rsid w:val="002F46A3"/>
    <w:rsid w:val="002F4C81"/>
    <w:rsid w:val="002F54D7"/>
    <w:rsid w:val="002F641A"/>
    <w:rsid w:val="002F68FD"/>
    <w:rsid w:val="002F6C38"/>
    <w:rsid w:val="002F7676"/>
    <w:rsid w:val="002F7821"/>
    <w:rsid w:val="002F7C31"/>
    <w:rsid w:val="002F7C86"/>
    <w:rsid w:val="002F7DA0"/>
    <w:rsid w:val="002F7F0C"/>
    <w:rsid w:val="00300913"/>
    <w:rsid w:val="00300DCC"/>
    <w:rsid w:val="0030101D"/>
    <w:rsid w:val="00301239"/>
    <w:rsid w:val="003015B4"/>
    <w:rsid w:val="00301A69"/>
    <w:rsid w:val="0030293C"/>
    <w:rsid w:val="00302B2F"/>
    <w:rsid w:val="00303B0F"/>
    <w:rsid w:val="00303D57"/>
    <w:rsid w:val="0030405C"/>
    <w:rsid w:val="003042C9"/>
    <w:rsid w:val="0030492B"/>
    <w:rsid w:val="00304C90"/>
    <w:rsid w:val="0030500D"/>
    <w:rsid w:val="003057BC"/>
    <w:rsid w:val="00305859"/>
    <w:rsid w:val="00305902"/>
    <w:rsid w:val="00306C37"/>
    <w:rsid w:val="00307BE8"/>
    <w:rsid w:val="00307ECE"/>
    <w:rsid w:val="0031061D"/>
    <w:rsid w:val="003106C5"/>
    <w:rsid w:val="0031094E"/>
    <w:rsid w:val="0031144C"/>
    <w:rsid w:val="00311771"/>
    <w:rsid w:val="00312334"/>
    <w:rsid w:val="00312A92"/>
    <w:rsid w:val="0031374A"/>
    <w:rsid w:val="00313BF3"/>
    <w:rsid w:val="0031463A"/>
    <w:rsid w:val="003147BC"/>
    <w:rsid w:val="00314A80"/>
    <w:rsid w:val="00315960"/>
    <w:rsid w:val="003159CD"/>
    <w:rsid w:val="00315CF0"/>
    <w:rsid w:val="00315DC2"/>
    <w:rsid w:val="003164E2"/>
    <w:rsid w:val="0031736F"/>
    <w:rsid w:val="003174DC"/>
    <w:rsid w:val="00317884"/>
    <w:rsid w:val="003178A5"/>
    <w:rsid w:val="00317AF8"/>
    <w:rsid w:val="00320036"/>
    <w:rsid w:val="003209C2"/>
    <w:rsid w:val="0032114D"/>
    <w:rsid w:val="003227C8"/>
    <w:rsid w:val="00322863"/>
    <w:rsid w:val="00322B53"/>
    <w:rsid w:val="003238B6"/>
    <w:rsid w:val="00323DAE"/>
    <w:rsid w:val="003241B5"/>
    <w:rsid w:val="00324713"/>
    <w:rsid w:val="00325DFE"/>
    <w:rsid w:val="00325FAA"/>
    <w:rsid w:val="003262BF"/>
    <w:rsid w:val="003268E4"/>
    <w:rsid w:val="00327AD5"/>
    <w:rsid w:val="00330179"/>
    <w:rsid w:val="00330384"/>
    <w:rsid w:val="003310DC"/>
    <w:rsid w:val="00331257"/>
    <w:rsid w:val="003313FD"/>
    <w:rsid w:val="0033271A"/>
    <w:rsid w:val="00332EE2"/>
    <w:rsid w:val="00333458"/>
    <w:rsid w:val="003343AE"/>
    <w:rsid w:val="00335475"/>
    <w:rsid w:val="00336030"/>
    <w:rsid w:val="00336791"/>
    <w:rsid w:val="00336F37"/>
    <w:rsid w:val="00336FE3"/>
    <w:rsid w:val="003404BA"/>
    <w:rsid w:val="003404F4"/>
    <w:rsid w:val="00340A0B"/>
    <w:rsid w:val="003410C6"/>
    <w:rsid w:val="003416FF"/>
    <w:rsid w:val="0034234B"/>
    <w:rsid w:val="0034373D"/>
    <w:rsid w:val="00344295"/>
    <w:rsid w:val="00346ECB"/>
    <w:rsid w:val="00347385"/>
    <w:rsid w:val="0034772A"/>
    <w:rsid w:val="00347D0A"/>
    <w:rsid w:val="00350DF1"/>
    <w:rsid w:val="0035115A"/>
    <w:rsid w:val="003514DE"/>
    <w:rsid w:val="0035190F"/>
    <w:rsid w:val="00351F70"/>
    <w:rsid w:val="00352F15"/>
    <w:rsid w:val="003536DE"/>
    <w:rsid w:val="00353CC6"/>
    <w:rsid w:val="0035546E"/>
    <w:rsid w:val="003556C7"/>
    <w:rsid w:val="003558C3"/>
    <w:rsid w:val="00355A96"/>
    <w:rsid w:val="00355F96"/>
    <w:rsid w:val="00355F97"/>
    <w:rsid w:val="00356A23"/>
    <w:rsid w:val="00356B26"/>
    <w:rsid w:val="003571A8"/>
    <w:rsid w:val="003574C5"/>
    <w:rsid w:val="00360052"/>
    <w:rsid w:val="00360065"/>
    <w:rsid w:val="003602FC"/>
    <w:rsid w:val="0036055C"/>
    <w:rsid w:val="003607DF"/>
    <w:rsid w:val="00360FCD"/>
    <w:rsid w:val="00361116"/>
    <w:rsid w:val="003613F3"/>
    <w:rsid w:val="003618D5"/>
    <w:rsid w:val="00361DF8"/>
    <w:rsid w:val="00362565"/>
    <w:rsid w:val="00362B47"/>
    <w:rsid w:val="00364A4F"/>
    <w:rsid w:val="00364C01"/>
    <w:rsid w:val="003652D4"/>
    <w:rsid w:val="003660AB"/>
    <w:rsid w:val="003663B9"/>
    <w:rsid w:val="00366A58"/>
    <w:rsid w:val="00367E6C"/>
    <w:rsid w:val="00367FA6"/>
    <w:rsid w:val="00370286"/>
    <w:rsid w:val="00370574"/>
    <w:rsid w:val="00371515"/>
    <w:rsid w:val="003715F9"/>
    <w:rsid w:val="0037197A"/>
    <w:rsid w:val="003735B4"/>
    <w:rsid w:val="003736FA"/>
    <w:rsid w:val="00373BF5"/>
    <w:rsid w:val="003741A7"/>
    <w:rsid w:val="00374212"/>
    <w:rsid w:val="0037481B"/>
    <w:rsid w:val="00374A42"/>
    <w:rsid w:val="00375871"/>
    <w:rsid w:val="00375A78"/>
    <w:rsid w:val="00376386"/>
    <w:rsid w:val="00376AC3"/>
    <w:rsid w:val="00376C69"/>
    <w:rsid w:val="00380034"/>
    <w:rsid w:val="003800ED"/>
    <w:rsid w:val="003807DC"/>
    <w:rsid w:val="00380E13"/>
    <w:rsid w:val="003810B0"/>
    <w:rsid w:val="003814E5"/>
    <w:rsid w:val="003816A9"/>
    <w:rsid w:val="00381A25"/>
    <w:rsid w:val="00381B10"/>
    <w:rsid w:val="00382605"/>
    <w:rsid w:val="00384248"/>
    <w:rsid w:val="00384941"/>
    <w:rsid w:val="00384947"/>
    <w:rsid w:val="00384FB4"/>
    <w:rsid w:val="0038580C"/>
    <w:rsid w:val="00386331"/>
    <w:rsid w:val="00386A94"/>
    <w:rsid w:val="00386DD4"/>
    <w:rsid w:val="00386E13"/>
    <w:rsid w:val="0039167E"/>
    <w:rsid w:val="003917BB"/>
    <w:rsid w:val="00392138"/>
    <w:rsid w:val="003927BC"/>
    <w:rsid w:val="00392852"/>
    <w:rsid w:val="00392A89"/>
    <w:rsid w:val="00393903"/>
    <w:rsid w:val="00393E1C"/>
    <w:rsid w:val="003944DB"/>
    <w:rsid w:val="0039484A"/>
    <w:rsid w:val="003958D4"/>
    <w:rsid w:val="00395CD1"/>
    <w:rsid w:val="00396792"/>
    <w:rsid w:val="003974BC"/>
    <w:rsid w:val="003A016A"/>
    <w:rsid w:val="003A0676"/>
    <w:rsid w:val="003A069A"/>
    <w:rsid w:val="003A0981"/>
    <w:rsid w:val="003A0F18"/>
    <w:rsid w:val="003A1508"/>
    <w:rsid w:val="003A1723"/>
    <w:rsid w:val="003A2461"/>
    <w:rsid w:val="003A323A"/>
    <w:rsid w:val="003A502B"/>
    <w:rsid w:val="003A561F"/>
    <w:rsid w:val="003A56B7"/>
    <w:rsid w:val="003A5831"/>
    <w:rsid w:val="003A61A0"/>
    <w:rsid w:val="003A6700"/>
    <w:rsid w:val="003A69FA"/>
    <w:rsid w:val="003A7EF8"/>
    <w:rsid w:val="003B0346"/>
    <w:rsid w:val="003B08D5"/>
    <w:rsid w:val="003B090B"/>
    <w:rsid w:val="003B09ED"/>
    <w:rsid w:val="003B0F30"/>
    <w:rsid w:val="003B0F3E"/>
    <w:rsid w:val="003B1001"/>
    <w:rsid w:val="003B294B"/>
    <w:rsid w:val="003B2C46"/>
    <w:rsid w:val="003B3278"/>
    <w:rsid w:val="003B3959"/>
    <w:rsid w:val="003B3AE8"/>
    <w:rsid w:val="003B42BD"/>
    <w:rsid w:val="003B4A6B"/>
    <w:rsid w:val="003B5731"/>
    <w:rsid w:val="003B57D8"/>
    <w:rsid w:val="003B61FD"/>
    <w:rsid w:val="003B65AA"/>
    <w:rsid w:val="003B66F8"/>
    <w:rsid w:val="003B6DDD"/>
    <w:rsid w:val="003B6EA2"/>
    <w:rsid w:val="003C0351"/>
    <w:rsid w:val="003C04D6"/>
    <w:rsid w:val="003C0548"/>
    <w:rsid w:val="003C0AB3"/>
    <w:rsid w:val="003C0C49"/>
    <w:rsid w:val="003C0D99"/>
    <w:rsid w:val="003C323E"/>
    <w:rsid w:val="003C3348"/>
    <w:rsid w:val="003C38A5"/>
    <w:rsid w:val="003C4175"/>
    <w:rsid w:val="003C4576"/>
    <w:rsid w:val="003C49E1"/>
    <w:rsid w:val="003C4C32"/>
    <w:rsid w:val="003C5056"/>
    <w:rsid w:val="003C5B1F"/>
    <w:rsid w:val="003C6042"/>
    <w:rsid w:val="003C6445"/>
    <w:rsid w:val="003C6D9A"/>
    <w:rsid w:val="003C7400"/>
    <w:rsid w:val="003C788F"/>
    <w:rsid w:val="003D0F6A"/>
    <w:rsid w:val="003D18D7"/>
    <w:rsid w:val="003D2144"/>
    <w:rsid w:val="003D25B8"/>
    <w:rsid w:val="003D2888"/>
    <w:rsid w:val="003D2B6E"/>
    <w:rsid w:val="003D2E2F"/>
    <w:rsid w:val="003D3433"/>
    <w:rsid w:val="003D361F"/>
    <w:rsid w:val="003D364F"/>
    <w:rsid w:val="003D4305"/>
    <w:rsid w:val="003D4CB3"/>
    <w:rsid w:val="003D68EF"/>
    <w:rsid w:val="003D6ACA"/>
    <w:rsid w:val="003D6C65"/>
    <w:rsid w:val="003D79C6"/>
    <w:rsid w:val="003E0CE0"/>
    <w:rsid w:val="003E13ED"/>
    <w:rsid w:val="003E166B"/>
    <w:rsid w:val="003E1B4A"/>
    <w:rsid w:val="003E1C67"/>
    <w:rsid w:val="003E25DD"/>
    <w:rsid w:val="003E28BC"/>
    <w:rsid w:val="003E29E4"/>
    <w:rsid w:val="003E2B29"/>
    <w:rsid w:val="003E4415"/>
    <w:rsid w:val="003E4449"/>
    <w:rsid w:val="003E47AD"/>
    <w:rsid w:val="003E50E6"/>
    <w:rsid w:val="003E525D"/>
    <w:rsid w:val="003E5406"/>
    <w:rsid w:val="003E58D2"/>
    <w:rsid w:val="003E62B5"/>
    <w:rsid w:val="003E63E1"/>
    <w:rsid w:val="003E686C"/>
    <w:rsid w:val="003E6898"/>
    <w:rsid w:val="003E741C"/>
    <w:rsid w:val="003F07D5"/>
    <w:rsid w:val="003F0B75"/>
    <w:rsid w:val="003F1365"/>
    <w:rsid w:val="003F1387"/>
    <w:rsid w:val="003F1E8A"/>
    <w:rsid w:val="003F21FF"/>
    <w:rsid w:val="003F3BCA"/>
    <w:rsid w:val="003F3FF7"/>
    <w:rsid w:val="003F4098"/>
    <w:rsid w:val="003F4314"/>
    <w:rsid w:val="003F4653"/>
    <w:rsid w:val="003F4A17"/>
    <w:rsid w:val="003F52C7"/>
    <w:rsid w:val="003F55FB"/>
    <w:rsid w:val="003F564C"/>
    <w:rsid w:val="003F58B8"/>
    <w:rsid w:val="003F7155"/>
    <w:rsid w:val="003F7E9C"/>
    <w:rsid w:val="004006B0"/>
    <w:rsid w:val="0040130D"/>
    <w:rsid w:val="00402119"/>
    <w:rsid w:val="004021E9"/>
    <w:rsid w:val="004023B8"/>
    <w:rsid w:val="00403CCA"/>
    <w:rsid w:val="00403E85"/>
    <w:rsid w:val="00403E99"/>
    <w:rsid w:val="0040436B"/>
    <w:rsid w:val="00404FDB"/>
    <w:rsid w:val="00405217"/>
    <w:rsid w:val="00405C1E"/>
    <w:rsid w:val="00405F8D"/>
    <w:rsid w:val="00406533"/>
    <w:rsid w:val="00406C61"/>
    <w:rsid w:val="004079DB"/>
    <w:rsid w:val="004106A5"/>
    <w:rsid w:val="00411632"/>
    <w:rsid w:val="00411791"/>
    <w:rsid w:val="00412F43"/>
    <w:rsid w:val="004133F0"/>
    <w:rsid w:val="004140E5"/>
    <w:rsid w:val="004144D4"/>
    <w:rsid w:val="00415622"/>
    <w:rsid w:val="00415ED4"/>
    <w:rsid w:val="00416BAA"/>
    <w:rsid w:val="00416CEE"/>
    <w:rsid w:val="00416E39"/>
    <w:rsid w:val="00417041"/>
    <w:rsid w:val="0041706A"/>
    <w:rsid w:val="0041712E"/>
    <w:rsid w:val="0041739D"/>
    <w:rsid w:val="00417787"/>
    <w:rsid w:val="00417A23"/>
    <w:rsid w:val="004202A9"/>
    <w:rsid w:val="004207D1"/>
    <w:rsid w:val="00421518"/>
    <w:rsid w:val="004216BB"/>
    <w:rsid w:val="00422571"/>
    <w:rsid w:val="004228AF"/>
    <w:rsid w:val="00422917"/>
    <w:rsid w:val="00422988"/>
    <w:rsid w:val="00422E59"/>
    <w:rsid w:val="00423548"/>
    <w:rsid w:val="00423571"/>
    <w:rsid w:val="00424790"/>
    <w:rsid w:val="00424D2F"/>
    <w:rsid w:val="004257BA"/>
    <w:rsid w:val="00426031"/>
    <w:rsid w:val="00427015"/>
    <w:rsid w:val="00427126"/>
    <w:rsid w:val="0043011F"/>
    <w:rsid w:val="00430490"/>
    <w:rsid w:val="00430EE3"/>
    <w:rsid w:val="00431114"/>
    <w:rsid w:val="00431514"/>
    <w:rsid w:val="00431644"/>
    <w:rsid w:val="004322C7"/>
    <w:rsid w:val="00432E57"/>
    <w:rsid w:val="00434B37"/>
    <w:rsid w:val="00434EDD"/>
    <w:rsid w:val="00435306"/>
    <w:rsid w:val="00435D1D"/>
    <w:rsid w:val="004361AE"/>
    <w:rsid w:val="00436B94"/>
    <w:rsid w:val="00436CDD"/>
    <w:rsid w:val="00436FEF"/>
    <w:rsid w:val="004371DD"/>
    <w:rsid w:val="00437365"/>
    <w:rsid w:val="00437866"/>
    <w:rsid w:val="004379F3"/>
    <w:rsid w:val="00440C5B"/>
    <w:rsid w:val="00441093"/>
    <w:rsid w:val="004410B2"/>
    <w:rsid w:val="004410DD"/>
    <w:rsid w:val="00441530"/>
    <w:rsid w:val="00441DB7"/>
    <w:rsid w:val="004420B1"/>
    <w:rsid w:val="004423E5"/>
    <w:rsid w:val="00442561"/>
    <w:rsid w:val="004428F7"/>
    <w:rsid w:val="00442960"/>
    <w:rsid w:val="00442C10"/>
    <w:rsid w:val="004431EE"/>
    <w:rsid w:val="0044362F"/>
    <w:rsid w:val="004437B3"/>
    <w:rsid w:val="00443E29"/>
    <w:rsid w:val="00444316"/>
    <w:rsid w:val="004455D9"/>
    <w:rsid w:val="00446848"/>
    <w:rsid w:val="0045084A"/>
    <w:rsid w:val="004509E6"/>
    <w:rsid w:val="00450A67"/>
    <w:rsid w:val="0045120C"/>
    <w:rsid w:val="00451324"/>
    <w:rsid w:val="004514AA"/>
    <w:rsid w:val="004515A8"/>
    <w:rsid w:val="0045186E"/>
    <w:rsid w:val="00451E06"/>
    <w:rsid w:val="00454035"/>
    <w:rsid w:val="004540C4"/>
    <w:rsid w:val="00454732"/>
    <w:rsid w:val="004548E1"/>
    <w:rsid w:val="004550BB"/>
    <w:rsid w:val="0045514C"/>
    <w:rsid w:val="00455AB3"/>
    <w:rsid w:val="00455FA4"/>
    <w:rsid w:val="004560EB"/>
    <w:rsid w:val="00456A0B"/>
    <w:rsid w:val="00456FF3"/>
    <w:rsid w:val="00457ED2"/>
    <w:rsid w:val="004600D1"/>
    <w:rsid w:val="0046089D"/>
    <w:rsid w:val="004609E6"/>
    <w:rsid w:val="004612AA"/>
    <w:rsid w:val="00461B80"/>
    <w:rsid w:val="00462305"/>
    <w:rsid w:val="00462306"/>
    <w:rsid w:val="004626C2"/>
    <w:rsid w:val="00462AB9"/>
    <w:rsid w:val="00463167"/>
    <w:rsid w:val="004647DA"/>
    <w:rsid w:val="00464856"/>
    <w:rsid w:val="004649F7"/>
    <w:rsid w:val="00464D6A"/>
    <w:rsid w:val="0046597B"/>
    <w:rsid w:val="00465A66"/>
    <w:rsid w:val="004661E7"/>
    <w:rsid w:val="00467D4F"/>
    <w:rsid w:val="00471A11"/>
    <w:rsid w:val="00472360"/>
    <w:rsid w:val="004735AA"/>
    <w:rsid w:val="00474788"/>
    <w:rsid w:val="00474E77"/>
    <w:rsid w:val="00474FE5"/>
    <w:rsid w:val="0047503A"/>
    <w:rsid w:val="0047520A"/>
    <w:rsid w:val="004753C6"/>
    <w:rsid w:val="004758A7"/>
    <w:rsid w:val="00475A46"/>
    <w:rsid w:val="004769F4"/>
    <w:rsid w:val="00476A43"/>
    <w:rsid w:val="00477694"/>
    <w:rsid w:val="00480008"/>
    <w:rsid w:val="004801D2"/>
    <w:rsid w:val="004803DD"/>
    <w:rsid w:val="00480DF9"/>
    <w:rsid w:val="004811C2"/>
    <w:rsid w:val="0048127B"/>
    <w:rsid w:val="00481E78"/>
    <w:rsid w:val="00482052"/>
    <w:rsid w:val="0048223D"/>
    <w:rsid w:val="00482659"/>
    <w:rsid w:val="004829C9"/>
    <w:rsid w:val="0048352D"/>
    <w:rsid w:val="00483670"/>
    <w:rsid w:val="004838C2"/>
    <w:rsid w:val="00483D24"/>
    <w:rsid w:val="00484034"/>
    <w:rsid w:val="004841D1"/>
    <w:rsid w:val="0048460C"/>
    <w:rsid w:val="0048530F"/>
    <w:rsid w:val="004856D9"/>
    <w:rsid w:val="00485852"/>
    <w:rsid w:val="0048593A"/>
    <w:rsid w:val="00485E97"/>
    <w:rsid w:val="00486243"/>
    <w:rsid w:val="0048628F"/>
    <w:rsid w:val="00486515"/>
    <w:rsid w:val="004867C6"/>
    <w:rsid w:val="00486D12"/>
    <w:rsid w:val="0048799A"/>
    <w:rsid w:val="00490710"/>
    <w:rsid w:val="00490D55"/>
    <w:rsid w:val="00491122"/>
    <w:rsid w:val="004917DD"/>
    <w:rsid w:val="00491C99"/>
    <w:rsid w:val="00491D58"/>
    <w:rsid w:val="0049202F"/>
    <w:rsid w:val="00492141"/>
    <w:rsid w:val="00492BE3"/>
    <w:rsid w:val="00493AF7"/>
    <w:rsid w:val="00493DE0"/>
    <w:rsid w:val="00493FA2"/>
    <w:rsid w:val="004942B3"/>
    <w:rsid w:val="004947F7"/>
    <w:rsid w:val="00495107"/>
    <w:rsid w:val="0049608E"/>
    <w:rsid w:val="00496401"/>
    <w:rsid w:val="00496890"/>
    <w:rsid w:val="00496B2A"/>
    <w:rsid w:val="00497AE2"/>
    <w:rsid w:val="00497C58"/>
    <w:rsid w:val="00497D29"/>
    <w:rsid w:val="004A0996"/>
    <w:rsid w:val="004A14B3"/>
    <w:rsid w:val="004A2414"/>
    <w:rsid w:val="004A2433"/>
    <w:rsid w:val="004A27ED"/>
    <w:rsid w:val="004A2DD5"/>
    <w:rsid w:val="004A498B"/>
    <w:rsid w:val="004A573C"/>
    <w:rsid w:val="004A6268"/>
    <w:rsid w:val="004A6942"/>
    <w:rsid w:val="004A7BA5"/>
    <w:rsid w:val="004B024E"/>
    <w:rsid w:val="004B1035"/>
    <w:rsid w:val="004B14BD"/>
    <w:rsid w:val="004B15A0"/>
    <w:rsid w:val="004B19F6"/>
    <w:rsid w:val="004B1C97"/>
    <w:rsid w:val="004B1CFF"/>
    <w:rsid w:val="004B2256"/>
    <w:rsid w:val="004B2F12"/>
    <w:rsid w:val="004B31F5"/>
    <w:rsid w:val="004B35BC"/>
    <w:rsid w:val="004B3732"/>
    <w:rsid w:val="004B4E3C"/>
    <w:rsid w:val="004B4FB6"/>
    <w:rsid w:val="004B57C9"/>
    <w:rsid w:val="004B5A8A"/>
    <w:rsid w:val="004B6373"/>
    <w:rsid w:val="004B6647"/>
    <w:rsid w:val="004B6881"/>
    <w:rsid w:val="004B69EA"/>
    <w:rsid w:val="004B6AF3"/>
    <w:rsid w:val="004B6B8F"/>
    <w:rsid w:val="004B71E3"/>
    <w:rsid w:val="004C0B44"/>
    <w:rsid w:val="004C14B7"/>
    <w:rsid w:val="004C25CC"/>
    <w:rsid w:val="004C2BD2"/>
    <w:rsid w:val="004C326C"/>
    <w:rsid w:val="004C3489"/>
    <w:rsid w:val="004C3D6A"/>
    <w:rsid w:val="004C3FB1"/>
    <w:rsid w:val="004C4677"/>
    <w:rsid w:val="004C47D4"/>
    <w:rsid w:val="004C4D0A"/>
    <w:rsid w:val="004C4EF2"/>
    <w:rsid w:val="004C5280"/>
    <w:rsid w:val="004C55EA"/>
    <w:rsid w:val="004C6127"/>
    <w:rsid w:val="004C6AE8"/>
    <w:rsid w:val="004C6D15"/>
    <w:rsid w:val="004C747A"/>
    <w:rsid w:val="004C7D22"/>
    <w:rsid w:val="004C7FD5"/>
    <w:rsid w:val="004D0558"/>
    <w:rsid w:val="004D09D5"/>
    <w:rsid w:val="004D0A5D"/>
    <w:rsid w:val="004D1129"/>
    <w:rsid w:val="004D1509"/>
    <w:rsid w:val="004D183D"/>
    <w:rsid w:val="004D1854"/>
    <w:rsid w:val="004D1912"/>
    <w:rsid w:val="004D21DC"/>
    <w:rsid w:val="004D2326"/>
    <w:rsid w:val="004D37E0"/>
    <w:rsid w:val="004D3877"/>
    <w:rsid w:val="004D422B"/>
    <w:rsid w:val="004D44B9"/>
    <w:rsid w:val="004D4864"/>
    <w:rsid w:val="004D49AF"/>
    <w:rsid w:val="004D51AC"/>
    <w:rsid w:val="004D5411"/>
    <w:rsid w:val="004D5FF3"/>
    <w:rsid w:val="004D730C"/>
    <w:rsid w:val="004D749C"/>
    <w:rsid w:val="004D7EA7"/>
    <w:rsid w:val="004E193B"/>
    <w:rsid w:val="004E21C6"/>
    <w:rsid w:val="004E2689"/>
    <w:rsid w:val="004E2AEE"/>
    <w:rsid w:val="004E4086"/>
    <w:rsid w:val="004E4118"/>
    <w:rsid w:val="004E45B9"/>
    <w:rsid w:val="004E4EA6"/>
    <w:rsid w:val="004E50B4"/>
    <w:rsid w:val="004E64F3"/>
    <w:rsid w:val="004E67B5"/>
    <w:rsid w:val="004E680A"/>
    <w:rsid w:val="004E6CA4"/>
    <w:rsid w:val="004E6DD3"/>
    <w:rsid w:val="004E6E2C"/>
    <w:rsid w:val="004E7211"/>
    <w:rsid w:val="004E7486"/>
    <w:rsid w:val="004F11C5"/>
    <w:rsid w:val="004F1B76"/>
    <w:rsid w:val="004F200B"/>
    <w:rsid w:val="004F246B"/>
    <w:rsid w:val="004F247B"/>
    <w:rsid w:val="004F25E4"/>
    <w:rsid w:val="004F29D6"/>
    <w:rsid w:val="004F3133"/>
    <w:rsid w:val="004F31BD"/>
    <w:rsid w:val="004F32C8"/>
    <w:rsid w:val="004F3B5E"/>
    <w:rsid w:val="004F3DFE"/>
    <w:rsid w:val="004F3E2D"/>
    <w:rsid w:val="004F431A"/>
    <w:rsid w:val="004F52F6"/>
    <w:rsid w:val="004F5531"/>
    <w:rsid w:val="004F5AFF"/>
    <w:rsid w:val="004F5CCC"/>
    <w:rsid w:val="004F5E20"/>
    <w:rsid w:val="004F5F46"/>
    <w:rsid w:val="004F648E"/>
    <w:rsid w:val="004F64C7"/>
    <w:rsid w:val="004F6712"/>
    <w:rsid w:val="004F6AA1"/>
    <w:rsid w:val="004F767E"/>
    <w:rsid w:val="004F7A83"/>
    <w:rsid w:val="004F7B25"/>
    <w:rsid w:val="004F7B65"/>
    <w:rsid w:val="00500565"/>
    <w:rsid w:val="00500DA3"/>
    <w:rsid w:val="00500E06"/>
    <w:rsid w:val="005016B1"/>
    <w:rsid w:val="00501A85"/>
    <w:rsid w:val="00502337"/>
    <w:rsid w:val="00502641"/>
    <w:rsid w:val="00502F5F"/>
    <w:rsid w:val="00502F82"/>
    <w:rsid w:val="00502FFD"/>
    <w:rsid w:val="0050303C"/>
    <w:rsid w:val="00504076"/>
    <w:rsid w:val="00504456"/>
    <w:rsid w:val="0050463A"/>
    <w:rsid w:val="00504B36"/>
    <w:rsid w:val="00504C58"/>
    <w:rsid w:val="005050A4"/>
    <w:rsid w:val="005052AC"/>
    <w:rsid w:val="005053D8"/>
    <w:rsid w:val="00505890"/>
    <w:rsid w:val="00505E85"/>
    <w:rsid w:val="0050781F"/>
    <w:rsid w:val="00507AE4"/>
    <w:rsid w:val="005109B3"/>
    <w:rsid w:val="00510DD6"/>
    <w:rsid w:val="005111B3"/>
    <w:rsid w:val="00511212"/>
    <w:rsid w:val="00511945"/>
    <w:rsid w:val="005124F6"/>
    <w:rsid w:val="00512EAA"/>
    <w:rsid w:val="00512F5F"/>
    <w:rsid w:val="005145F5"/>
    <w:rsid w:val="00514B37"/>
    <w:rsid w:val="0051514E"/>
    <w:rsid w:val="0051569B"/>
    <w:rsid w:val="00515FF6"/>
    <w:rsid w:val="005161DF"/>
    <w:rsid w:val="0051643C"/>
    <w:rsid w:val="00516878"/>
    <w:rsid w:val="00516B31"/>
    <w:rsid w:val="005174F7"/>
    <w:rsid w:val="0051761E"/>
    <w:rsid w:val="00520115"/>
    <w:rsid w:val="005210F6"/>
    <w:rsid w:val="005222DC"/>
    <w:rsid w:val="00522562"/>
    <w:rsid w:val="00522C0D"/>
    <w:rsid w:val="005237DD"/>
    <w:rsid w:val="00523860"/>
    <w:rsid w:val="0052399D"/>
    <w:rsid w:val="005240EC"/>
    <w:rsid w:val="005243CE"/>
    <w:rsid w:val="0052444E"/>
    <w:rsid w:val="00524C92"/>
    <w:rsid w:val="00525370"/>
    <w:rsid w:val="00525D8B"/>
    <w:rsid w:val="00526012"/>
    <w:rsid w:val="005261B1"/>
    <w:rsid w:val="00526DB5"/>
    <w:rsid w:val="0053035C"/>
    <w:rsid w:val="00530598"/>
    <w:rsid w:val="0053096C"/>
    <w:rsid w:val="00530A61"/>
    <w:rsid w:val="00531012"/>
    <w:rsid w:val="00531326"/>
    <w:rsid w:val="005334B0"/>
    <w:rsid w:val="005339AD"/>
    <w:rsid w:val="005344C4"/>
    <w:rsid w:val="005345DE"/>
    <w:rsid w:val="005348E9"/>
    <w:rsid w:val="00534C60"/>
    <w:rsid w:val="005352F5"/>
    <w:rsid w:val="0053557B"/>
    <w:rsid w:val="005355FF"/>
    <w:rsid w:val="0053575C"/>
    <w:rsid w:val="0053580C"/>
    <w:rsid w:val="00535F6E"/>
    <w:rsid w:val="00535FC6"/>
    <w:rsid w:val="005364FE"/>
    <w:rsid w:val="005367F6"/>
    <w:rsid w:val="00536C09"/>
    <w:rsid w:val="005373E3"/>
    <w:rsid w:val="00537784"/>
    <w:rsid w:val="00540DF7"/>
    <w:rsid w:val="0054148D"/>
    <w:rsid w:val="00541770"/>
    <w:rsid w:val="00541C74"/>
    <w:rsid w:val="00541E97"/>
    <w:rsid w:val="00542942"/>
    <w:rsid w:val="00542A42"/>
    <w:rsid w:val="005430D8"/>
    <w:rsid w:val="00543974"/>
    <w:rsid w:val="00543B5F"/>
    <w:rsid w:val="005450C2"/>
    <w:rsid w:val="005457E8"/>
    <w:rsid w:val="00546F61"/>
    <w:rsid w:val="005479CC"/>
    <w:rsid w:val="00547B44"/>
    <w:rsid w:val="00547D01"/>
    <w:rsid w:val="00547F7F"/>
    <w:rsid w:val="00547F88"/>
    <w:rsid w:val="00550194"/>
    <w:rsid w:val="00550243"/>
    <w:rsid w:val="0055058E"/>
    <w:rsid w:val="00551208"/>
    <w:rsid w:val="0055170A"/>
    <w:rsid w:val="00552082"/>
    <w:rsid w:val="005525FA"/>
    <w:rsid w:val="00552655"/>
    <w:rsid w:val="00552910"/>
    <w:rsid w:val="00552CB8"/>
    <w:rsid w:val="00552CEA"/>
    <w:rsid w:val="00553FE7"/>
    <w:rsid w:val="00554159"/>
    <w:rsid w:val="00555837"/>
    <w:rsid w:val="00555BAE"/>
    <w:rsid w:val="00555C4B"/>
    <w:rsid w:val="00555D79"/>
    <w:rsid w:val="0055638C"/>
    <w:rsid w:val="00556B45"/>
    <w:rsid w:val="00557E08"/>
    <w:rsid w:val="005611E4"/>
    <w:rsid w:val="00562238"/>
    <w:rsid w:val="00562DCB"/>
    <w:rsid w:val="00562ECA"/>
    <w:rsid w:val="0056318C"/>
    <w:rsid w:val="00563A81"/>
    <w:rsid w:val="00563B95"/>
    <w:rsid w:val="005641BC"/>
    <w:rsid w:val="0056440F"/>
    <w:rsid w:val="005653F8"/>
    <w:rsid w:val="00566896"/>
    <w:rsid w:val="00566A33"/>
    <w:rsid w:val="00567119"/>
    <w:rsid w:val="00567344"/>
    <w:rsid w:val="00567928"/>
    <w:rsid w:val="00567A69"/>
    <w:rsid w:val="0057058B"/>
    <w:rsid w:val="00570953"/>
    <w:rsid w:val="00571535"/>
    <w:rsid w:val="005719B5"/>
    <w:rsid w:val="00571A8C"/>
    <w:rsid w:val="00571C37"/>
    <w:rsid w:val="00573AC7"/>
    <w:rsid w:val="00573DED"/>
    <w:rsid w:val="0057487C"/>
    <w:rsid w:val="0057523C"/>
    <w:rsid w:val="005760F2"/>
    <w:rsid w:val="00576857"/>
    <w:rsid w:val="00576CBC"/>
    <w:rsid w:val="005801A4"/>
    <w:rsid w:val="00580AA6"/>
    <w:rsid w:val="00580E77"/>
    <w:rsid w:val="00581CA0"/>
    <w:rsid w:val="005823DD"/>
    <w:rsid w:val="00583D05"/>
    <w:rsid w:val="005856EA"/>
    <w:rsid w:val="00586555"/>
    <w:rsid w:val="00586E97"/>
    <w:rsid w:val="005902FA"/>
    <w:rsid w:val="00590D05"/>
    <w:rsid w:val="00591867"/>
    <w:rsid w:val="00591AB3"/>
    <w:rsid w:val="00591C57"/>
    <w:rsid w:val="00592036"/>
    <w:rsid w:val="005920A3"/>
    <w:rsid w:val="00592799"/>
    <w:rsid w:val="00592B07"/>
    <w:rsid w:val="00592D44"/>
    <w:rsid w:val="00593DC5"/>
    <w:rsid w:val="00593EE2"/>
    <w:rsid w:val="00594647"/>
    <w:rsid w:val="00595073"/>
    <w:rsid w:val="00595074"/>
    <w:rsid w:val="00595132"/>
    <w:rsid w:val="00595EBD"/>
    <w:rsid w:val="005961E2"/>
    <w:rsid w:val="005963CC"/>
    <w:rsid w:val="005964BA"/>
    <w:rsid w:val="0059684C"/>
    <w:rsid w:val="00596955"/>
    <w:rsid w:val="00596BDF"/>
    <w:rsid w:val="00597182"/>
    <w:rsid w:val="005975EF"/>
    <w:rsid w:val="005A09C8"/>
    <w:rsid w:val="005A09CD"/>
    <w:rsid w:val="005A0F94"/>
    <w:rsid w:val="005A1CFC"/>
    <w:rsid w:val="005A2B26"/>
    <w:rsid w:val="005A312E"/>
    <w:rsid w:val="005A3A2E"/>
    <w:rsid w:val="005A4243"/>
    <w:rsid w:val="005A459B"/>
    <w:rsid w:val="005A46E8"/>
    <w:rsid w:val="005A4A59"/>
    <w:rsid w:val="005A4B65"/>
    <w:rsid w:val="005A51D3"/>
    <w:rsid w:val="005A5C27"/>
    <w:rsid w:val="005A6B9C"/>
    <w:rsid w:val="005A726F"/>
    <w:rsid w:val="005A7378"/>
    <w:rsid w:val="005A77FF"/>
    <w:rsid w:val="005A7863"/>
    <w:rsid w:val="005A7954"/>
    <w:rsid w:val="005B0050"/>
    <w:rsid w:val="005B0243"/>
    <w:rsid w:val="005B179B"/>
    <w:rsid w:val="005B1849"/>
    <w:rsid w:val="005B1BF6"/>
    <w:rsid w:val="005B1E29"/>
    <w:rsid w:val="005B2B72"/>
    <w:rsid w:val="005B2C79"/>
    <w:rsid w:val="005B2E3C"/>
    <w:rsid w:val="005B34BC"/>
    <w:rsid w:val="005B3523"/>
    <w:rsid w:val="005B42B3"/>
    <w:rsid w:val="005B4AFB"/>
    <w:rsid w:val="005B5F85"/>
    <w:rsid w:val="005B6063"/>
    <w:rsid w:val="005B6DE1"/>
    <w:rsid w:val="005B7191"/>
    <w:rsid w:val="005C114C"/>
    <w:rsid w:val="005C160D"/>
    <w:rsid w:val="005C2289"/>
    <w:rsid w:val="005C38A6"/>
    <w:rsid w:val="005C3F04"/>
    <w:rsid w:val="005C4AAA"/>
    <w:rsid w:val="005C50B5"/>
    <w:rsid w:val="005C537F"/>
    <w:rsid w:val="005C59A1"/>
    <w:rsid w:val="005C5B51"/>
    <w:rsid w:val="005C5E61"/>
    <w:rsid w:val="005C64C7"/>
    <w:rsid w:val="005C6A08"/>
    <w:rsid w:val="005C7568"/>
    <w:rsid w:val="005C7FA4"/>
    <w:rsid w:val="005D01FF"/>
    <w:rsid w:val="005D02FC"/>
    <w:rsid w:val="005D06A6"/>
    <w:rsid w:val="005D06B7"/>
    <w:rsid w:val="005D06E0"/>
    <w:rsid w:val="005D0BB2"/>
    <w:rsid w:val="005D1B7B"/>
    <w:rsid w:val="005D2F44"/>
    <w:rsid w:val="005D3047"/>
    <w:rsid w:val="005D3893"/>
    <w:rsid w:val="005D3BAD"/>
    <w:rsid w:val="005D424B"/>
    <w:rsid w:val="005D444F"/>
    <w:rsid w:val="005D56A5"/>
    <w:rsid w:val="005D5792"/>
    <w:rsid w:val="005D61AD"/>
    <w:rsid w:val="005D6551"/>
    <w:rsid w:val="005D6E6B"/>
    <w:rsid w:val="005D6FDB"/>
    <w:rsid w:val="005D7E00"/>
    <w:rsid w:val="005E03D0"/>
    <w:rsid w:val="005E1368"/>
    <w:rsid w:val="005E20B9"/>
    <w:rsid w:val="005E23A6"/>
    <w:rsid w:val="005E2BE7"/>
    <w:rsid w:val="005E2FDF"/>
    <w:rsid w:val="005E3C22"/>
    <w:rsid w:val="005E3E22"/>
    <w:rsid w:val="005E3FAE"/>
    <w:rsid w:val="005E43C6"/>
    <w:rsid w:val="005E4BF7"/>
    <w:rsid w:val="005E55BB"/>
    <w:rsid w:val="005E5BCC"/>
    <w:rsid w:val="005E6701"/>
    <w:rsid w:val="005E6D7C"/>
    <w:rsid w:val="005E7406"/>
    <w:rsid w:val="005E7583"/>
    <w:rsid w:val="005E77C8"/>
    <w:rsid w:val="005F04E3"/>
    <w:rsid w:val="005F055B"/>
    <w:rsid w:val="005F0AAE"/>
    <w:rsid w:val="005F0AFA"/>
    <w:rsid w:val="005F0C2B"/>
    <w:rsid w:val="005F0C3A"/>
    <w:rsid w:val="005F12DD"/>
    <w:rsid w:val="005F24DA"/>
    <w:rsid w:val="005F2A7F"/>
    <w:rsid w:val="005F2FD5"/>
    <w:rsid w:val="005F300E"/>
    <w:rsid w:val="005F36F2"/>
    <w:rsid w:val="005F38B0"/>
    <w:rsid w:val="005F3BF7"/>
    <w:rsid w:val="005F5098"/>
    <w:rsid w:val="005F561A"/>
    <w:rsid w:val="005F5BA6"/>
    <w:rsid w:val="005F5ED3"/>
    <w:rsid w:val="005F68BB"/>
    <w:rsid w:val="005F6F33"/>
    <w:rsid w:val="0060022E"/>
    <w:rsid w:val="00600618"/>
    <w:rsid w:val="006007E2"/>
    <w:rsid w:val="00600C3D"/>
    <w:rsid w:val="00600CF4"/>
    <w:rsid w:val="0060107F"/>
    <w:rsid w:val="006016A7"/>
    <w:rsid w:val="00601F8B"/>
    <w:rsid w:val="00602EA1"/>
    <w:rsid w:val="00602EAF"/>
    <w:rsid w:val="00603210"/>
    <w:rsid w:val="006037BC"/>
    <w:rsid w:val="00603837"/>
    <w:rsid w:val="00603E4A"/>
    <w:rsid w:val="0060421F"/>
    <w:rsid w:val="006043C9"/>
    <w:rsid w:val="0060495B"/>
    <w:rsid w:val="00604FBD"/>
    <w:rsid w:val="0060518A"/>
    <w:rsid w:val="006051A5"/>
    <w:rsid w:val="00605D2C"/>
    <w:rsid w:val="006061DD"/>
    <w:rsid w:val="006067B3"/>
    <w:rsid w:val="0060760C"/>
    <w:rsid w:val="00607E04"/>
    <w:rsid w:val="00610179"/>
    <w:rsid w:val="00610567"/>
    <w:rsid w:val="006105B9"/>
    <w:rsid w:val="00610A0E"/>
    <w:rsid w:val="00610D8D"/>
    <w:rsid w:val="00610E0C"/>
    <w:rsid w:val="006110B3"/>
    <w:rsid w:val="0061148E"/>
    <w:rsid w:val="0061194C"/>
    <w:rsid w:val="00612B64"/>
    <w:rsid w:val="00614A57"/>
    <w:rsid w:val="00615342"/>
    <w:rsid w:val="00615487"/>
    <w:rsid w:val="0061552C"/>
    <w:rsid w:val="00616228"/>
    <w:rsid w:val="00617176"/>
    <w:rsid w:val="00617581"/>
    <w:rsid w:val="006206AF"/>
    <w:rsid w:val="00620AF7"/>
    <w:rsid w:val="00620BC3"/>
    <w:rsid w:val="00620D26"/>
    <w:rsid w:val="00621175"/>
    <w:rsid w:val="0062122A"/>
    <w:rsid w:val="00621740"/>
    <w:rsid w:val="0062199A"/>
    <w:rsid w:val="00622121"/>
    <w:rsid w:val="00622635"/>
    <w:rsid w:val="00622797"/>
    <w:rsid w:val="006230FD"/>
    <w:rsid w:val="00623498"/>
    <w:rsid w:val="006237A6"/>
    <w:rsid w:val="00623DEC"/>
    <w:rsid w:val="00623E59"/>
    <w:rsid w:val="006243E1"/>
    <w:rsid w:val="00624A83"/>
    <w:rsid w:val="006256BA"/>
    <w:rsid w:val="00625DA6"/>
    <w:rsid w:val="00626E77"/>
    <w:rsid w:val="006271CF"/>
    <w:rsid w:val="0062785E"/>
    <w:rsid w:val="00627B1D"/>
    <w:rsid w:val="00627EE2"/>
    <w:rsid w:val="00630F33"/>
    <w:rsid w:val="006318A4"/>
    <w:rsid w:val="00631CAF"/>
    <w:rsid w:val="006326AC"/>
    <w:rsid w:val="006336AA"/>
    <w:rsid w:val="0063385B"/>
    <w:rsid w:val="00633C32"/>
    <w:rsid w:val="006342A4"/>
    <w:rsid w:val="00634DBB"/>
    <w:rsid w:val="00635A06"/>
    <w:rsid w:val="00635B3D"/>
    <w:rsid w:val="006363CE"/>
    <w:rsid w:val="0063660F"/>
    <w:rsid w:val="006367B5"/>
    <w:rsid w:val="006372B1"/>
    <w:rsid w:val="006375EA"/>
    <w:rsid w:val="0063783B"/>
    <w:rsid w:val="00640372"/>
    <w:rsid w:val="0064087E"/>
    <w:rsid w:val="00640C27"/>
    <w:rsid w:val="00640CA6"/>
    <w:rsid w:val="00641051"/>
    <w:rsid w:val="006416C2"/>
    <w:rsid w:val="00641738"/>
    <w:rsid w:val="00641E50"/>
    <w:rsid w:val="0064204D"/>
    <w:rsid w:val="0064210E"/>
    <w:rsid w:val="00642C12"/>
    <w:rsid w:val="00643333"/>
    <w:rsid w:val="006433A2"/>
    <w:rsid w:val="00644406"/>
    <w:rsid w:val="00644846"/>
    <w:rsid w:val="00644C48"/>
    <w:rsid w:val="00645596"/>
    <w:rsid w:val="00645A46"/>
    <w:rsid w:val="0064607C"/>
    <w:rsid w:val="00646497"/>
    <w:rsid w:val="00646849"/>
    <w:rsid w:val="006471CA"/>
    <w:rsid w:val="00647D99"/>
    <w:rsid w:val="006503BA"/>
    <w:rsid w:val="00651AE8"/>
    <w:rsid w:val="00651F3A"/>
    <w:rsid w:val="006521A9"/>
    <w:rsid w:val="00652410"/>
    <w:rsid w:val="00652B49"/>
    <w:rsid w:val="006531A1"/>
    <w:rsid w:val="00653209"/>
    <w:rsid w:val="0065351E"/>
    <w:rsid w:val="006539FA"/>
    <w:rsid w:val="00653CEC"/>
    <w:rsid w:val="006541A7"/>
    <w:rsid w:val="00654E08"/>
    <w:rsid w:val="00655646"/>
    <w:rsid w:val="00655A2F"/>
    <w:rsid w:val="00655AD6"/>
    <w:rsid w:val="00656BEE"/>
    <w:rsid w:val="00657112"/>
    <w:rsid w:val="00657B74"/>
    <w:rsid w:val="00657C9A"/>
    <w:rsid w:val="00657CF9"/>
    <w:rsid w:val="006605C7"/>
    <w:rsid w:val="006609E1"/>
    <w:rsid w:val="00661280"/>
    <w:rsid w:val="00661687"/>
    <w:rsid w:val="0066364E"/>
    <w:rsid w:val="00665359"/>
    <w:rsid w:val="00665545"/>
    <w:rsid w:val="00665742"/>
    <w:rsid w:val="0066588F"/>
    <w:rsid w:val="00666125"/>
    <w:rsid w:val="006662F5"/>
    <w:rsid w:val="006665D2"/>
    <w:rsid w:val="00666DFF"/>
    <w:rsid w:val="00667084"/>
    <w:rsid w:val="006679D7"/>
    <w:rsid w:val="0067059B"/>
    <w:rsid w:val="00670A90"/>
    <w:rsid w:val="00670B11"/>
    <w:rsid w:val="00670F43"/>
    <w:rsid w:val="0067103F"/>
    <w:rsid w:val="0067108E"/>
    <w:rsid w:val="006714D0"/>
    <w:rsid w:val="006714F9"/>
    <w:rsid w:val="00672B79"/>
    <w:rsid w:val="00672BB7"/>
    <w:rsid w:val="006731EA"/>
    <w:rsid w:val="00674A8E"/>
    <w:rsid w:val="00674C3B"/>
    <w:rsid w:val="0067592F"/>
    <w:rsid w:val="00675D8E"/>
    <w:rsid w:val="0067644D"/>
    <w:rsid w:val="00676E9E"/>
    <w:rsid w:val="0067723E"/>
    <w:rsid w:val="00677466"/>
    <w:rsid w:val="00677D8E"/>
    <w:rsid w:val="006810B4"/>
    <w:rsid w:val="006810DC"/>
    <w:rsid w:val="00682309"/>
    <w:rsid w:val="006824D7"/>
    <w:rsid w:val="00682753"/>
    <w:rsid w:val="00682CE6"/>
    <w:rsid w:val="00683181"/>
    <w:rsid w:val="00683247"/>
    <w:rsid w:val="00683D4B"/>
    <w:rsid w:val="00684FB2"/>
    <w:rsid w:val="006854DD"/>
    <w:rsid w:val="006857BC"/>
    <w:rsid w:val="00685965"/>
    <w:rsid w:val="00686287"/>
    <w:rsid w:val="00686ABD"/>
    <w:rsid w:val="00686DE6"/>
    <w:rsid w:val="00686F80"/>
    <w:rsid w:val="0068751B"/>
    <w:rsid w:val="0068751F"/>
    <w:rsid w:val="006876A9"/>
    <w:rsid w:val="00687BFA"/>
    <w:rsid w:val="00687D59"/>
    <w:rsid w:val="006919A4"/>
    <w:rsid w:val="00692BC3"/>
    <w:rsid w:val="00692D45"/>
    <w:rsid w:val="00692DCC"/>
    <w:rsid w:val="00692F68"/>
    <w:rsid w:val="00693014"/>
    <w:rsid w:val="00693160"/>
    <w:rsid w:val="00693557"/>
    <w:rsid w:val="006937D4"/>
    <w:rsid w:val="00693EB7"/>
    <w:rsid w:val="006943E1"/>
    <w:rsid w:val="00694AA7"/>
    <w:rsid w:val="00694CC2"/>
    <w:rsid w:val="00695E62"/>
    <w:rsid w:val="00696679"/>
    <w:rsid w:val="006972CE"/>
    <w:rsid w:val="00697409"/>
    <w:rsid w:val="0069794B"/>
    <w:rsid w:val="00697BDF"/>
    <w:rsid w:val="006A0942"/>
    <w:rsid w:val="006A0B32"/>
    <w:rsid w:val="006A104A"/>
    <w:rsid w:val="006A1344"/>
    <w:rsid w:val="006A160F"/>
    <w:rsid w:val="006A1B10"/>
    <w:rsid w:val="006A2462"/>
    <w:rsid w:val="006A3410"/>
    <w:rsid w:val="006A4071"/>
    <w:rsid w:val="006A43B4"/>
    <w:rsid w:val="006A44FD"/>
    <w:rsid w:val="006A4803"/>
    <w:rsid w:val="006A4C18"/>
    <w:rsid w:val="006A4DB8"/>
    <w:rsid w:val="006A50AC"/>
    <w:rsid w:val="006A555C"/>
    <w:rsid w:val="006A6014"/>
    <w:rsid w:val="006A6E16"/>
    <w:rsid w:val="006A6FE3"/>
    <w:rsid w:val="006A743F"/>
    <w:rsid w:val="006A78EA"/>
    <w:rsid w:val="006A7A08"/>
    <w:rsid w:val="006A7E89"/>
    <w:rsid w:val="006B0251"/>
    <w:rsid w:val="006B03AB"/>
    <w:rsid w:val="006B0FBB"/>
    <w:rsid w:val="006B1F5F"/>
    <w:rsid w:val="006B23AA"/>
    <w:rsid w:val="006B2AA1"/>
    <w:rsid w:val="006B2FBD"/>
    <w:rsid w:val="006B48D6"/>
    <w:rsid w:val="006B5831"/>
    <w:rsid w:val="006B61E8"/>
    <w:rsid w:val="006B639B"/>
    <w:rsid w:val="006B6E9B"/>
    <w:rsid w:val="006B7118"/>
    <w:rsid w:val="006B7457"/>
    <w:rsid w:val="006B7594"/>
    <w:rsid w:val="006B7B7F"/>
    <w:rsid w:val="006B7E32"/>
    <w:rsid w:val="006C0582"/>
    <w:rsid w:val="006C28A6"/>
    <w:rsid w:val="006C3242"/>
    <w:rsid w:val="006C351E"/>
    <w:rsid w:val="006C3FDA"/>
    <w:rsid w:val="006C4A00"/>
    <w:rsid w:val="006C4E53"/>
    <w:rsid w:val="006C52F2"/>
    <w:rsid w:val="006C554D"/>
    <w:rsid w:val="006C56BE"/>
    <w:rsid w:val="006C602A"/>
    <w:rsid w:val="006C63F2"/>
    <w:rsid w:val="006C652E"/>
    <w:rsid w:val="006C6711"/>
    <w:rsid w:val="006C6EEE"/>
    <w:rsid w:val="006C71DD"/>
    <w:rsid w:val="006C71E5"/>
    <w:rsid w:val="006C729A"/>
    <w:rsid w:val="006C746F"/>
    <w:rsid w:val="006D04A8"/>
    <w:rsid w:val="006D0814"/>
    <w:rsid w:val="006D09BC"/>
    <w:rsid w:val="006D0AE2"/>
    <w:rsid w:val="006D0E55"/>
    <w:rsid w:val="006D11B5"/>
    <w:rsid w:val="006D148F"/>
    <w:rsid w:val="006D1F17"/>
    <w:rsid w:val="006D2053"/>
    <w:rsid w:val="006D26FF"/>
    <w:rsid w:val="006D4B46"/>
    <w:rsid w:val="006D4F62"/>
    <w:rsid w:val="006D4FED"/>
    <w:rsid w:val="006D5886"/>
    <w:rsid w:val="006D5CC2"/>
    <w:rsid w:val="006D626B"/>
    <w:rsid w:val="006D6881"/>
    <w:rsid w:val="006D68A4"/>
    <w:rsid w:val="006D793B"/>
    <w:rsid w:val="006E019C"/>
    <w:rsid w:val="006E0712"/>
    <w:rsid w:val="006E08AF"/>
    <w:rsid w:val="006E09FC"/>
    <w:rsid w:val="006E13A8"/>
    <w:rsid w:val="006E200F"/>
    <w:rsid w:val="006E3476"/>
    <w:rsid w:val="006E3AF0"/>
    <w:rsid w:val="006E4690"/>
    <w:rsid w:val="006E552F"/>
    <w:rsid w:val="006E619A"/>
    <w:rsid w:val="006E6C7E"/>
    <w:rsid w:val="006E73DD"/>
    <w:rsid w:val="006E740B"/>
    <w:rsid w:val="006E7535"/>
    <w:rsid w:val="006E7DA6"/>
    <w:rsid w:val="006F0D15"/>
    <w:rsid w:val="006F11C4"/>
    <w:rsid w:val="006F147D"/>
    <w:rsid w:val="006F189B"/>
    <w:rsid w:val="006F23E9"/>
    <w:rsid w:val="006F2783"/>
    <w:rsid w:val="006F28D8"/>
    <w:rsid w:val="006F2C73"/>
    <w:rsid w:val="006F308E"/>
    <w:rsid w:val="006F3242"/>
    <w:rsid w:val="006F3D84"/>
    <w:rsid w:val="006F40B2"/>
    <w:rsid w:val="006F6219"/>
    <w:rsid w:val="006F683C"/>
    <w:rsid w:val="006F6989"/>
    <w:rsid w:val="006F6F85"/>
    <w:rsid w:val="006F76A0"/>
    <w:rsid w:val="006F7841"/>
    <w:rsid w:val="0070023B"/>
    <w:rsid w:val="0070099C"/>
    <w:rsid w:val="00700ECA"/>
    <w:rsid w:val="007011A4"/>
    <w:rsid w:val="007014CB"/>
    <w:rsid w:val="00701529"/>
    <w:rsid w:val="007018E4"/>
    <w:rsid w:val="00701917"/>
    <w:rsid w:val="00701AD2"/>
    <w:rsid w:val="00702814"/>
    <w:rsid w:val="00703B74"/>
    <w:rsid w:val="00703F21"/>
    <w:rsid w:val="00704959"/>
    <w:rsid w:val="00705229"/>
    <w:rsid w:val="00705946"/>
    <w:rsid w:val="00705A18"/>
    <w:rsid w:val="00705F04"/>
    <w:rsid w:val="007062BB"/>
    <w:rsid w:val="007067FC"/>
    <w:rsid w:val="00706F9E"/>
    <w:rsid w:val="007076C5"/>
    <w:rsid w:val="0070797C"/>
    <w:rsid w:val="00707F5A"/>
    <w:rsid w:val="007108D9"/>
    <w:rsid w:val="0071092A"/>
    <w:rsid w:val="00710ACB"/>
    <w:rsid w:val="007115FC"/>
    <w:rsid w:val="0071202D"/>
    <w:rsid w:val="007123E8"/>
    <w:rsid w:val="007126DA"/>
    <w:rsid w:val="00712CDA"/>
    <w:rsid w:val="00712EA0"/>
    <w:rsid w:val="00713010"/>
    <w:rsid w:val="007133CE"/>
    <w:rsid w:val="0071366E"/>
    <w:rsid w:val="00714247"/>
    <w:rsid w:val="0071480F"/>
    <w:rsid w:val="00714F16"/>
    <w:rsid w:val="00716004"/>
    <w:rsid w:val="0071657E"/>
    <w:rsid w:val="0071744D"/>
    <w:rsid w:val="007175C4"/>
    <w:rsid w:val="00720286"/>
    <w:rsid w:val="00720468"/>
    <w:rsid w:val="0072096C"/>
    <w:rsid w:val="00721FE3"/>
    <w:rsid w:val="007221AB"/>
    <w:rsid w:val="00722685"/>
    <w:rsid w:val="0072323C"/>
    <w:rsid w:val="00723358"/>
    <w:rsid w:val="00723DD1"/>
    <w:rsid w:val="00724145"/>
    <w:rsid w:val="0072472F"/>
    <w:rsid w:val="00724AF3"/>
    <w:rsid w:val="00724D00"/>
    <w:rsid w:val="00725E6E"/>
    <w:rsid w:val="00726570"/>
    <w:rsid w:val="00726F7A"/>
    <w:rsid w:val="007275A0"/>
    <w:rsid w:val="00727E00"/>
    <w:rsid w:val="00727EBB"/>
    <w:rsid w:val="00727FCE"/>
    <w:rsid w:val="00730168"/>
    <w:rsid w:val="00730647"/>
    <w:rsid w:val="00730E8A"/>
    <w:rsid w:val="0073194A"/>
    <w:rsid w:val="00731FDF"/>
    <w:rsid w:val="00733CB7"/>
    <w:rsid w:val="00734047"/>
    <w:rsid w:val="00734831"/>
    <w:rsid w:val="007349D4"/>
    <w:rsid w:val="00734FD3"/>
    <w:rsid w:val="007353E8"/>
    <w:rsid w:val="007358FE"/>
    <w:rsid w:val="00735A52"/>
    <w:rsid w:val="00735C38"/>
    <w:rsid w:val="00735F25"/>
    <w:rsid w:val="007366C0"/>
    <w:rsid w:val="00736A72"/>
    <w:rsid w:val="00736A9A"/>
    <w:rsid w:val="00736C64"/>
    <w:rsid w:val="00736D33"/>
    <w:rsid w:val="00737057"/>
    <w:rsid w:val="00737592"/>
    <w:rsid w:val="00737A15"/>
    <w:rsid w:val="007405E4"/>
    <w:rsid w:val="007409B1"/>
    <w:rsid w:val="00740A7A"/>
    <w:rsid w:val="00740D6F"/>
    <w:rsid w:val="007410AA"/>
    <w:rsid w:val="00741605"/>
    <w:rsid w:val="007431D3"/>
    <w:rsid w:val="00744506"/>
    <w:rsid w:val="0074453C"/>
    <w:rsid w:val="007459BA"/>
    <w:rsid w:val="00745C17"/>
    <w:rsid w:val="00745C68"/>
    <w:rsid w:val="00745DD4"/>
    <w:rsid w:val="00746192"/>
    <w:rsid w:val="00746735"/>
    <w:rsid w:val="0074728B"/>
    <w:rsid w:val="00747708"/>
    <w:rsid w:val="007478A9"/>
    <w:rsid w:val="007501A2"/>
    <w:rsid w:val="007505AC"/>
    <w:rsid w:val="007508E0"/>
    <w:rsid w:val="00750EEB"/>
    <w:rsid w:val="0075144F"/>
    <w:rsid w:val="007516A2"/>
    <w:rsid w:val="00751879"/>
    <w:rsid w:val="00751B6E"/>
    <w:rsid w:val="00752C99"/>
    <w:rsid w:val="0075357A"/>
    <w:rsid w:val="0075363D"/>
    <w:rsid w:val="00753854"/>
    <w:rsid w:val="00753DFB"/>
    <w:rsid w:val="007541B0"/>
    <w:rsid w:val="007549D3"/>
    <w:rsid w:val="00754C73"/>
    <w:rsid w:val="00754F9E"/>
    <w:rsid w:val="00754FEC"/>
    <w:rsid w:val="007551FF"/>
    <w:rsid w:val="00755FDD"/>
    <w:rsid w:val="007562FA"/>
    <w:rsid w:val="00756B42"/>
    <w:rsid w:val="00756C80"/>
    <w:rsid w:val="00757716"/>
    <w:rsid w:val="007578D6"/>
    <w:rsid w:val="00757C15"/>
    <w:rsid w:val="007603A5"/>
    <w:rsid w:val="007609B3"/>
    <w:rsid w:val="00760B3D"/>
    <w:rsid w:val="007612B4"/>
    <w:rsid w:val="00761A6C"/>
    <w:rsid w:val="00762349"/>
    <w:rsid w:val="007627D6"/>
    <w:rsid w:val="00762884"/>
    <w:rsid w:val="00762AE9"/>
    <w:rsid w:val="00762DC5"/>
    <w:rsid w:val="00762DEB"/>
    <w:rsid w:val="00763025"/>
    <w:rsid w:val="00763096"/>
    <w:rsid w:val="007643F8"/>
    <w:rsid w:val="00764B38"/>
    <w:rsid w:val="00764B58"/>
    <w:rsid w:val="007651FA"/>
    <w:rsid w:val="007653C3"/>
    <w:rsid w:val="0076541A"/>
    <w:rsid w:val="00765440"/>
    <w:rsid w:val="007654A6"/>
    <w:rsid w:val="00765A53"/>
    <w:rsid w:val="00766B62"/>
    <w:rsid w:val="00767B5D"/>
    <w:rsid w:val="00767B8D"/>
    <w:rsid w:val="00770FAD"/>
    <w:rsid w:val="00772213"/>
    <w:rsid w:val="00772846"/>
    <w:rsid w:val="0077294C"/>
    <w:rsid w:val="007729D8"/>
    <w:rsid w:val="00772D5A"/>
    <w:rsid w:val="00772E36"/>
    <w:rsid w:val="00773363"/>
    <w:rsid w:val="00773B9E"/>
    <w:rsid w:val="00774B10"/>
    <w:rsid w:val="00774E9B"/>
    <w:rsid w:val="007750A0"/>
    <w:rsid w:val="007753D9"/>
    <w:rsid w:val="007759AA"/>
    <w:rsid w:val="007768D3"/>
    <w:rsid w:val="00776F1A"/>
    <w:rsid w:val="00777514"/>
    <w:rsid w:val="007779D9"/>
    <w:rsid w:val="00777A12"/>
    <w:rsid w:val="00777CBD"/>
    <w:rsid w:val="00780463"/>
    <w:rsid w:val="00780728"/>
    <w:rsid w:val="0078097F"/>
    <w:rsid w:val="00780EDB"/>
    <w:rsid w:val="0078166C"/>
    <w:rsid w:val="00782034"/>
    <w:rsid w:val="00782148"/>
    <w:rsid w:val="007828A1"/>
    <w:rsid w:val="00782E8C"/>
    <w:rsid w:val="0078395B"/>
    <w:rsid w:val="00783B49"/>
    <w:rsid w:val="00784418"/>
    <w:rsid w:val="0078468E"/>
    <w:rsid w:val="00785FBC"/>
    <w:rsid w:val="00786F18"/>
    <w:rsid w:val="0078753F"/>
    <w:rsid w:val="00787B1F"/>
    <w:rsid w:val="0079009D"/>
    <w:rsid w:val="007910B8"/>
    <w:rsid w:val="0079133F"/>
    <w:rsid w:val="0079212A"/>
    <w:rsid w:val="00792554"/>
    <w:rsid w:val="00792A28"/>
    <w:rsid w:val="00792D2C"/>
    <w:rsid w:val="00792E48"/>
    <w:rsid w:val="00792F95"/>
    <w:rsid w:val="00792F9D"/>
    <w:rsid w:val="00793961"/>
    <w:rsid w:val="00794501"/>
    <w:rsid w:val="007948A4"/>
    <w:rsid w:val="007949C9"/>
    <w:rsid w:val="0079544C"/>
    <w:rsid w:val="007962B6"/>
    <w:rsid w:val="00796536"/>
    <w:rsid w:val="00796A4A"/>
    <w:rsid w:val="00796E17"/>
    <w:rsid w:val="00797204"/>
    <w:rsid w:val="00797F45"/>
    <w:rsid w:val="007A1890"/>
    <w:rsid w:val="007A1CEF"/>
    <w:rsid w:val="007A1E1C"/>
    <w:rsid w:val="007A3656"/>
    <w:rsid w:val="007A3FE9"/>
    <w:rsid w:val="007A4674"/>
    <w:rsid w:val="007A54F6"/>
    <w:rsid w:val="007A56E1"/>
    <w:rsid w:val="007A580D"/>
    <w:rsid w:val="007A5D32"/>
    <w:rsid w:val="007A622F"/>
    <w:rsid w:val="007A6457"/>
    <w:rsid w:val="007A64E0"/>
    <w:rsid w:val="007A69C8"/>
    <w:rsid w:val="007A6F1D"/>
    <w:rsid w:val="007A6F50"/>
    <w:rsid w:val="007A70BF"/>
    <w:rsid w:val="007A75FD"/>
    <w:rsid w:val="007A7D58"/>
    <w:rsid w:val="007B01BC"/>
    <w:rsid w:val="007B1D68"/>
    <w:rsid w:val="007B1DB5"/>
    <w:rsid w:val="007B2451"/>
    <w:rsid w:val="007B26BF"/>
    <w:rsid w:val="007B31E5"/>
    <w:rsid w:val="007B3F02"/>
    <w:rsid w:val="007B3FC8"/>
    <w:rsid w:val="007B4B2C"/>
    <w:rsid w:val="007B5496"/>
    <w:rsid w:val="007B5842"/>
    <w:rsid w:val="007B5F92"/>
    <w:rsid w:val="007B6610"/>
    <w:rsid w:val="007B785E"/>
    <w:rsid w:val="007B7AD4"/>
    <w:rsid w:val="007B7EEC"/>
    <w:rsid w:val="007C00CB"/>
    <w:rsid w:val="007C05F0"/>
    <w:rsid w:val="007C05FD"/>
    <w:rsid w:val="007C0686"/>
    <w:rsid w:val="007C0B15"/>
    <w:rsid w:val="007C1069"/>
    <w:rsid w:val="007C2228"/>
    <w:rsid w:val="007C2552"/>
    <w:rsid w:val="007C490F"/>
    <w:rsid w:val="007C4E55"/>
    <w:rsid w:val="007C600D"/>
    <w:rsid w:val="007C6616"/>
    <w:rsid w:val="007C7BC3"/>
    <w:rsid w:val="007D078F"/>
    <w:rsid w:val="007D07DE"/>
    <w:rsid w:val="007D0852"/>
    <w:rsid w:val="007D14B1"/>
    <w:rsid w:val="007D1F78"/>
    <w:rsid w:val="007D284C"/>
    <w:rsid w:val="007D2D2D"/>
    <w:rsid w:val="007D30A8"/>
    <w:rsid w:val="007D3131"/>
    <w:rsid w:val="007D37B6"/>
    <w:rsid w:val="007D4596"/>
    <w:rsid w:val="007D4903"/>
    <w:rsid w:val="007D50EE"/>
    <w:rsid w:val="007D5B3A"/>
    <w:rsid w:val="007D6137"/>
    <w:rsid w:val="007D62BE"/>
    <w:rsid w:val="007D6C9A"/>
    <w:rsid w:val="007D71F1"/>
    <w:rsid w:val="007D729E"/>
    <w:rsid w:val="007D73AC"/>
    <w:rsid w:val="007D77D5"/>
    <w:rsid w:val="007D786C"/>
    <w:rsid w:val="007D7BAA"/>
    <w:rsid w:val="007D7BEE"/>
    <w:rsid w:val="007E04EE"/>
    <w:rsid w:val="007E0ABD"/>
    <w:rsid w:val="007E1714"/>
    <w:rsid w:val="007E172E"/>
    <w:rsid w:val="007E1D59"/>
    <w:rsid w:val="007E29C5"/>
    <w:rsid w:val="007E3736"/>
    <w:rsid w:val="007E3ECF"/>
    <w:rsid w:val="007E43C4"/>
    <w:rsid w:val="007E52CA"/>
    <w:rsid w:val="007E59E8"/>
    <w:rsid w:val="007E6854"/>
    <w:rsid w:val="007E70D9"/>
    <w:rsid w:val="007E73D8"/>
    <w:rsid w:val="007E7BBA"/>
    <w:rsid w:val="007F0185"/>
    <w:rsid w:val="007F12AE"/>
    <w:rsid w:val="007F16BD"/>
    <w:rsid w:val="007F1C0B"/>
    <w:rsid w:val="007F1C8F"/>
    <w:rsid w:val="007F28BB"/>
    <w:rsid w:val="007F2E51"/>
    <w:rsid w:val="007F33CA"/>
    <w:rsid w:val="007F3621"/>
    <w:rsid w:val="007F4001"/>
    <w:rsid w:val="007F43CD"/>
    <w:rsid w:val="007F4ABB"/>
    <w:rsid w:val="007F53A9"/>
    <w:rsid w:val="007F5506"/>
    <w:rsid w:val="007F590B"/>
    <w:rsid w:val="007F69D2"/>
    <w:rsid w:val="008003B0"/>
    <w:rsid w:val="0080086F"/>
    <w:rsid w:val="00800AE7"/>
    <w:rsid w:val="0080182F"/>
    <w:rsid w:val="00801A19"/>
    <w:rsid w:val="0080299F"/>
    <w:rsid w:val="00803139"/>
    <w:rsid w:val="0080393F"/>
    <w:rsid w:val="008039CE"/>
    <w:rsid w:val="00803B38"/>
    <w:rsid w:val="00804107"/>
    <w:rsid w:val="00804404"/>
    <w:rsid w:val="00804A8C"/>
    <w:rsid w:val="0080515D"/>
    <w:rsid w:val="008066AA"/>
    <w:rsid w:val="0080695A"/>
    <w:rsid w:val="00806AD2"/>
    <w:rsid w:val="00807196"/>
    <w:rsid w:val="00807873"/>
    <w:rsid w:val="00807C0F"/>
    <w:rsid w:val="00810A97"/>
    <w:rsid w:val="00810E2F"/>
    <w:rsid w:val="008118C7"/>
    <w:rsid w:val="00812215"/>
    <w:rsid w:val="0081296A"/>
    <w:rsid w:val="008136BF"/>
    <w:rsid w:val="00813AA6"/>
    <w:rsid w:val="0081422E"/>
    <w:rsid w:val="0081452F"/>
    <w:rsid w:val="00814859"/>
    <w:rsid w:val="00814B72"/>
    <w:rsid w:val="00815B92"/>
    <w:rsid w:val="008176E7"/>
    <w:rsid w:val="00817F2B"/>
    <w:rsid w:val="00820269"/>
    <w:rsid w:val="00820407"/>
    <w:rsid w:val="00820466"/>
    <w:rsid w:val="00820D08"/>
    <w:rsid w:val="008218AF"/>
    <w:rsid w:val="00821CFB"/>
    <w:rsid w:val="00822F74"/>
    <w:rsid w:val="008237BC"/>
    <w:rsid w:val="00824582"/>
    <w:rsid w:val="00824954"/>
    <w:rsid w:val="0082514C"/>
    <w:rsid w:val="0082592D"/>
    <w:rsid w:val="0082642B"/>
    <w:rsid w:val="00826580"/>
    <w:rsid w:val="00827B6A"/>
    <w:rsid w:val="00827E47"/>
    <w:rsid w:val="00830E8E"/>
    <w:rsid w:val="0083172A"/>
    <w:rsid w:val="00832ABC"/>
    <w:rsid w:val="00832D20"/>
    <w:rsid w:val="00834C15"/>
    <w:rsid w:val="00835196"/>
    <w:rsid w:val="00835435"/>
    <w:rsid w:val="00835438"/>
    <w:rsid w:val="00836279"/>
    <w:rsid w:val="00836898"/>
    <w:rsid w:val="0083729D"/>
    <w:rsid w:val="008372D2"/>
    <w:rsid w:val="00837617"/>
    <w:rsid w:val="008378AF"/>
    <w:rsid w:val="008378C2"/>
    <w:rsid w:val="00837AD7"/>
    <w:rsid w:val="00840450"/>
    <w:rsid w:val="008406D1"/>
    <w:rsid w:val="00840B7A"/>
    <w:rsid w:val="00840BB1"/>
    <w:rsid w:val="00840D76"/>
    <w:rsid w:val="00841352"/>
    <w:rsid w:val="00841EB3"/>
    <w:rsid w:val="008421CA"/>
    <w:rsid w:val="00842C5E"/>
    <w:rsid w:val="00843401"/>
    <w:rsid w:val="0084421E"/>
    <w:rsid w:val="008444FA"/>
    <w:rsid w:val="008446C5"/>
    <w:rsid w:val="0084484C"/>
    <w:rsid w:val="00844B8C"/>
    <w:rsid w:val="00845539"/>
    <w:rsid w:val="00846854"/>
    <w:rsid w:val="00846A30"/>
    <w:rsid w:val="00846F2C"/>
    <w:rsid w:val="00847185"/>
    <w:rsid w:val="0084721A"/>
    <w:rsid w:val="00847403"/>
    <w:rsid w:val="00847998"/>
    <w:rsid w:val="00850082"/>
    <w:rsid w:val="00850548"/>
    <w:rsid w:val="00850932"/>
    <w:rsid w:val="00850A11"/>
    <w:rsid w:val="00850A8E"/>
    <w:rsid w:val="00850F80"/>
    <w:rsid w:val="0085137D"/>
    <w:rsid w:val="008517B7"/>
    <w:rsid w:val="00851C7F"/>
    <w:rsid w:val="00852005"/>
    <w:rsid w:val="008521E2"/>
    <w:rsid w:val="00852A76"/>
    <w:rsid w:val="00852CB0"/>
    <w:rsid w:val="00852F16"/>
    <w:rsid w:val="008535D3"/>
    <w:rsid w:val="00853665"/>
    <w:rsid w:val="00853C2E"/>
    <w:rsid w:val="00853FF7"/>
    <w:rsid w:val="008541EE"/>
    <w:rsid w:val="008551A4"/>
    <w:rsid w:val="00856D86"/>
    <w:rsid w:val="008572DC"/>
    <w:rsid w:val="008611CF"/>
    <w:rsid w:val="0086184B"/>
    <w:rsid w:val="00861F83"/>
    <w:rsid w:val="00862B10"/>
    <w:rsid w:val="0086369B"/>
    <w:rsid w:val="00864E6E"/>
    <w:rsid w:val="008654C6"/>
    <w:rsid w:val="008660AD"/>
    <w:rsid w:val="00867D30"/>
    <w:rsid w:val="00870629"/>
    <w:rsid w:val="00871865"/>
    <w:rsid w:val="008736D4"/>
    <w:rsid w:val="00873C28"/>
    <w:rsid w:val="00873E30"/>
    <w:rsid w:val="00874B05"/>
    <w:rsid w:val="00875083"/>
    <w:rsid w:val="00875281"/>
    <w:rsid w:val="008753E4"/>
    <w:rsid w:val="008754D4"/>
    <w:rsid w:val="00875A73"/>
    <w:rsid w:val="00876613"/>
    <w:rsid w:val="00877172"/>
    <w:rsid w:val="00877396"/>
    <w:rsid w:val="0087747F"/>
    <w:rsid w:val="00877B3E"/>
    <w:rsid w:val="008806E8"/>
    <w:rsid w:val="00881D8B"/>
    <w:rsid w:val="008820A9"/>
    <w:rsid w:val="008822FE"/>
    <w:rsid w:val="00882689"/>
    <w:rsid w:val="00882859"/>
    <w:rsid w:val="00882E94"/>
    <w:rsid w:val="00884357"/>
    <w:rsid w:val="008843B4"/>
    <w:rsid w:val="00884571"/>
    <w:rsid w:val="0088489F"/>
    <w:rsid w:val="00884D3D"/>
    <w:rsid w:val="008867A2"/>
    <w:rsid w:val="00887351"/>
    <w:rsid w:val="008877BF"/>
    <w:rsid w:val="0088794D"/>
    <w:rsid w:val="00887E54"/>
    <w:rsid w:val="00887EE8"/>
    <w:rsid w:val="00887F81"/>
    <w:rsid w:val="00890EC4"/>
    <w:rsid w:val="00891603"/>
    <w:rsid w:val="00891BC1"/>
    <w:rsid w:val="00893397"/>
    <w:rsid w:val="00893F70"/>
    <w:rsid w:val="0089464A"/>
    <w:rsid w:val="008947A4"/>
    <w:rsid w:val="00894B51"/>
    <w:rsid w:val="00894B99"/>
    <w:rsid w:val="00894CCE"/>
    <w:rsid w:val="00894D03"/>
    <w:rsid w:val="00895114"/>
    <w:rsid w:val="0089581D"/>
    <w:rsid w:val="008962E8"/>
    <w:rsid w:val="00896330"/>
    <w:rsid w:val="0089651D"/>
    <w:rsid w:val="00896FF8"/>
    <w:rsid w:val="008A0936"/>
    <w:rsid w:val="008A0EFF"/>
    <w:rsid w:val="008A13EA"/>
    <w:rsid w:val="008A1D14"/>
    <w:rsid w:val="008A1D44"/>
    <w:rsid w:val="008A2B24"/>
    <w:rsid w:val="008A3B56"/>
    <w:rsid w:val="008A3EAC"/>
    <w:rsid w:val="008A3EC3"/>
    <w:rsid w:val="008A3F9C"/>
    <w:rsid w:val="008A45AD"/>
    <w:rsid w:val="008A4C6B"/>
    <w:rsid w:val="008A55A0"/>
    <w:rsid w:val="008A644A"/>
    <w:rsid w:val="008A67ED"/>
    <w:rsid w:val="008A6869"/>
    <w:rsid w:val="008A6CEC"/>
    <w:rsid w:val="008A6E7B"/>
    <w:rsid w:val="008A76F7"/>
    <w:rsid w:val="008B049D"/>
    <w:rsid w:val="008B0D5D"/>
    <w:rsid w:val="008B14DB"/>
    <w:rsid w:val="008B1665"/>
    <w:rsid w:val="008B2875"/>
    <w:rsid w:val="008B287E"/>
    <w:rsid w:val="008B3BC6"/>
    <w:rsid w:val="008B4247"/>
    <w:rsid w:val="008B47DC"/>
    <w:rsid w:val="008B492D"/>
    <w:rsid w:val="008B5786"/>
    <w:rsid w:val="008B59F2"/>
    <w:rsid w:val="008B5B43"/>
    <w:rsid w:val="008B6229"/>
    <w:rsid w:val="008B63EB"/>
    <w:rsid w:val="008B6606"/>
    <w:rsid w:val="008B6E1D"/>
    <w:rsid w:val="008B730C"/>
    <w:rsid w:val="008B784C"/>
    <w:rsid w:val="008B79AF"/>
    <w:rsid w:val="008C0980"/>
    <w:rsid w:val="008C16B4"/>
    <w:rsid w:val="008C1794"/>
    <w:rsid w:val="008C28E8"/>
    <w:rsid w:val="008C29FF"/>
    <w:rsid w:val="008C2C86"/>
    <w:rsid w:val="008C334B"/>
    <w:rsid w:val="008C3413"/>
    <w:rsid w:val="008C348B"/>
    <w:rsid w:val="008C43D9"/>
    <w:rsid w:val="008C4FD3"/>
    <w:rsid w:val="008C5246"/>
    <w:rsid w:val="008C67F9"/>
    <w:rsid w:val="008C695F"/>
    <w:rsid w:val="008C699B"/>
    <w:rsid w:val="008C6F59"/>
    <w:rsid w:val="008C7AAD"/>
    <w:rsid w:val="008D02FC"/>
    <w:rsid w:val="008D05D7"/>
    <w:rsid w:val="008D09A6"/>
    <w:rsid w:val="008D0DAA"/>
    <w:rsid w:val="008D0DC1"/>
    <w:rsid w:val="008D15E7"/>
    <w:rsid w:val="008D1C98"/>
    <w:rsid w:val="008D1FBC"/>
    <w:rsid w:val="008D1FF0"/>
    <w:rsid w:val="008D252C"/>
    <w:rsid w:val="008D31B1"/>
    <w:rsid w:val="008D33CA"/>
    <w:rsid w:val="008D3AD1"/>
    <w:rsid w:val="008D3BA7"/>
    <w:rsid w:val="008D44B3"/>
    <w:rsid w:val="008D4AF5"/>
    <w:rsid w:val="008D4F5A"/>
    <w:rsid w:val="008D5177"/>
    <w:rsid w:val="008D53BE"/>
    <w:rsid w:val="008D5726"/>
    <w:rsid w:val="008D589E"/>
    <w:rsid w:val="008D58E2"/>
    <w:rsid w:val="008D5F21"/>
    <w:rsid w:val="008D6459"/>
    <w:rsid w:val="008D645C"/>
    <w:rsid w:val="008D7B22"/>
    <w:rsid w:val="008E02E1"/>
    <w:rsid w:val="008E036B"/>
    <w:rsid w:val="008E05BC"/>
    <w:rsid w:val="008E0A27"/>
    <w:rsid w:val="008E16B4"/>
    <w:rsid w:val="008E1A4A"/>
    <w:rsid w:val="008E1A99"/>
    <w:rsid w:val="008E1EE2"/>
    <w:rsid w:val="008E2CE0"/>
    <w:rsid w:val="008E2F12"/>
    <w:rsid w:val="008E38F4"/>
    <w:rsid w:val="008E3CA8"/>
    <w:rsid w:val="008E4147"/>
    <w:rsid w:val="008E5540"/>
    <w:rsid w:val="008E55B8"/>
    <w:rsid w:val="008E5754"/>
    <w:rsid w:val="008E6E58"/>
    <w:rsid w:val="008E6F27"/>
    <w:rsid w:val="008E7353"/>
    <w:rsid w:val="008F0E60"/>
    <w:rsid w:val="008F1219"/>
    <w:rsid w:val="008F1A26"/>
    <w:rsid w:val="008F20FE"/>
    <w:rsid w:val="008F28A7"/>
    <w:rsid w:val="008F2DF4"/>
    <w:rsid w:val="008F329C"/>
    <w:rsid w:val="008F343F"/>
    <w:rsid w:val="008F3F35"/>
    <w:rsid w:val="008F40F0"/>
    <w:rsid w:val="008F455D"/>
    <w:rsid w:val="008F4727"/>
    <w:rsid w:val="008F5B31"/>
    <w:rsid w:val="008F6181"/>
    <w:rsid w:val="008F6185"/>
    <w:rsid w:val="008F6986"/>
    <w:rsid w:val="008F6A78"/>
    <w:rsid w:val="008F6CBC"/>
    <w:rsid w:val="008F7569"/>
    <w:rsid w:val="008F7786"/>
    <w:rsid w:val="008F785D"/>
    <w:rsid w:val="008F7B29"/>
    <w:rsid w:val="008F7E48"/>
    <w:rsid w:val="008F7F43"/>
    <w:rsid w:val="00900857"/>
    <w:rsid w:val="00900A9A"/>
    <w:rsid w:val="00901957"/>
    <w:rsid w:val="00901C79"/>
    <w:rsid w:val="00901D3C"/>
    <w:rsid w:val="00901D79"/>
    <w:rsid w:val="009030AC"/>
    <w:rsid w:val="0090337E"/>
    <w:rsid w:val="0090410B"/>
    <w:rsid w:val="0090499F"/>
    <w:rsid w:val="00905230"/>
    <w:rsid w:val="00905287"/>
    <w:rsid w:val="00905687"/>
    <w:rsid w:val="00905E05"/>
    <w:rsid w:val="00905EA4"/>
    <w:rsid w:val="00906217"/>
    <w:rsid w:val="009069D7"/>
    <w:rsid w:val="00907393"/>
    <w:rsid w:val="00907590"/>
    <w:rsid w:val="00907980"/>
    <w:rsid w:val="00907C4A"/>
    <w:rsid w:val="00907CC9"/>
    <w:rsid w:val="00910167"/>
    <w:rsid w:val="00910177"/>
    <w:rsid w:val="00910C28"/>
    <w:rsid w:val="00911621"/>
    <w:rsid w:val="00911898"/>
    <w:rsid w:val="00911A02"/>
    <w:rsid w:val="00911EC1"/>
    <w:rsid w:val="009122B3"/>
    <w:rsid w:val="00912349"/>
    <w:rsid w:val="009131E0"/>
    <w:rsid w:val="009137DF"/>
    <w:rsid w:val="009139EB"/>
    <w:rsid w:val="00913DE5"/>
    <w:rsid w:val="009141F3"/>
    <w:rsid w:val="0091487C"/>
    <w:rsid w:val="00914F30"/>
    <w:rsid w:val="009150C4"/>
    <w:rsid w:val="009159ED"/>
    <w:rsid w:val="00916279"/>
    <w:rsid w:val="00917172"/>
    <w:rsid w:val="00917342"/>
    <w:rsid w:val="00917433"/>
    <w:rsid w:val="009178D2"/>
    <w:rsid w:val="00917B0B"/>
    <w:rsid w:val="00917B63"/>
    <w:rsid w:val="0092077B"/>
    <w:rsid w:val="00920EFE"/>
    <w:rsid w:val="0092258D"/>
    <w:rsid w:val="00922CDD"/>
    <w:rsid w:val="009236B7"/>
    <w:rsid w:val="00923867"/>
    <w:rsid w:val="0092429B"/>
    <w:rsid w:val="00924346"/>
    <w:rsid w:val="00924473"/>
    <w:rsid w:val="00924897"/>
    <w:rsid w:val="00925002"/>
    <w:rsid w:val="009250A0"/>
    <w:rsid w:val="00925111"/>
    <w:rsid w:val="00926209"/>
    <w:rsid w:val="009264F0"/>
    <w:rsid w:val="00926A85"/>
    <w:rsid w:val="00926F34"/>
    <w:rsid w:val="00927A65"/>
    <w:rsid w:val="009301E3"/>
    <w:rsid w:val="00930934"/>
    <w:rsid w:val="0093156D"/>
    <w:rsid w:val="009320BA"/>
    <w:rsid w:val="00933736"/>
    <w:rsid w:val="00933A24"/>
    <w:rsid w:val="00933F34"/>
    <w:rsid w:val="009342F9"/>
    <w:rsid w:val="00934BEA"/>
    <w:rsid w:val="00934C28"/>
    <w:rsid w:val="00934DA3"/>
    <w:rsid w:val="00934FFC"/>
    <w:rsid w:val="00935056"/>
    <w:rsid w:val="009356EB"/>
    <w:rsid w:val="0093588E"/>
    <w:rsid w:val="00935926"/>
    <w:rsid w:val="00936242"/>
    <w:rsid w:val="009364D8"/>
    <w:rsid w:val="009379E3"/>
    <w:rsid w:val="00940083"/>
    <w:rsid w:val="00940236"/>
    <w:rsid w:val="00940CD7"/>
    <w:rsid w:val="009410F4"/>
    <w:rsid w:val="00941624"/>
    <w:rsid w:val="00941C39"/>
    <w:rsid w:val="0094312A"/>
    <w:rsid w:val="0094363B"/>
    <w:rsid w:val="00943682"/>
    <w:rsid w:val="0094410D"/>
    <w:rsid w:val="00944B0F"/>
    <w:rsid w:val="00944B1C"/>
    <w:rsid w:val="009451EB"/>
    <w:rsid w:val="00945D00"/>
    <w:rsid w:val="009468D5"/>
    <w:rsid w:val="009474C9"/>
    <w:rsid w:val="00947A90"/>
    <w:rsid w:val="00947DBF"/>
    <w:rsid w:val="009509DF"/>
    <w:rsid w:val="00950BD1"/>
    <w:rsid w:val="009520C4"/>
    <w:rsid w:val="00953096"/>
    <w:rsid w:val="00953821"/>
    <w:rsid w:val="0095431E"/>
    <w:rsid w:val="009547CD"/>
    <w:rsid w:val="00955357"/>
    <w:rsid w:val="00955A03"/>
    <w:rsid w:val="00955DE0"/>
    <w:rsid w:val="0095665F"/>
    <w:rsid w:val="00956EC5"/>
    <w:rsid w:val="00956F24"/>
    <w:rsid w:val="00957447"/>
    <w:rsid w:val="00960569"/>
    <w:rsid w:val="00960962"/>
    <w:rsid w:val="00960D32"/>
    <w:rsid w:val="00961341"/>
    <w:rsid w:val="00962441"/>
    <w:rsid w:val="0096252B"/>
    <w:rsid w:val="009627A0"/>
    <w:rsid w:val="00962EAA"/>
    <w:rsid w:val="00962F1B"/>
    <w:rsid w:val="00963C83"/>
    <w:rsid w:val="00963E03"/>
    <w:rsid w:val="009642D5"/>
    <w:rsid w:val="009645E1"/>
    <w:rsid w:val="00964764"/>
    <w:rsid w:val="0096532D"/>
    <w:rsid w:val="0096694C"/>
    <w:rsid w:val="00967195"/>
    <w:rsid w:val="009671DB"/>
    <w:rsid w:val="0096795C"/>
    <w:rsid w:val="00967A75"/>
    <w:rsid w:val="009701E6"/>
    <w:rsid w:val="0097022E"/>
    <w:rsid w:val="009704DF"/>
    <w:rsid w:val="00970F4B"/>
    <w:rsid w:val="0097109D"/>
    <w:rsid w:val="00971689"/>
    <w:rsid w:val="00972360"/>
    <w:rsid w:val="00972505"/>
    <w:rsid w:val="009726A4"/>
    <w:rsid w:val="00972931"/>
    <w:rsid w:val="00972AE5"/>
    <w:rsid w:val="00973C78"/>
    <w:rsid w:val="00973CC6"/>
    <w:rsid w:val="0097549D"/>
    <w:rsid w:val="00975B4A"/>
    <w:rsid w:val="00975DE3"/>
    <w:rsid w:val="00976275"/>
    <w:rsid w:val="00977097"/>
    <w:rsid w:val="0097709B"/>
    <w:rsid w:val="0097767E"/>
    <w:rsid w:val="00977ACD"/>
    <w:rsid w:val="00977D3A"/>
    <w:rsid w:val="00977FCE"/>
    <w:rsid w:val="00980C6B"/>
    <w:rsid w:val="00980D12"/>
    <w:rsid w:val="00980FA5"/>
    <w:rsid w:val="009826AD"/>
    <w:rsid w:val="009839F6"/>
    <w:rsid w:val="009842B3"/>
    <w:rsid w:val="009844B1"/>
    <w:rsid w:val="00984D01"/>
    <w:rsid w:val="009855B8"/>
    <w:rsid w:val="00985DC6"/>
    <w:rsid w:val="00985E0E"/>
    <w:rsid w:val="00985F39"/>
    <w:rsid w:val="009860CF"/>
    <w:rsid w:val="00986438"/>
    <w:rsid w:val="00986FA6"/>
    <w:rsid w:val="00987025"/>
    <w:rsid w:val="00987908"/>
    <w:rsid w:val="00987C2D"/>
    <w:rsid w:val="009906DB"/>
    <w:rsid w:val="009908E1"/>
    <w:rsid w:val="00990B08"/>
    <w:rsid w:val="00990DE1"/>
    <w:rsid w:val="00990FE9"/>
    <w:rsid w:val="0099131C"/>
    <w:rsid w:val="009915CF"/>
    <w:rsid w:val="009918A8"/>
    <w:rsid w:val="00991D09"/>
    <w:rsid w:val="00992111"/>
    <w:rsid w:val="00992182"/>
    <w:rsid w:val="00992B65"/>
    <w:rsid w:val="00992BD0"/>
    <w:rsid w:val="009932D0"/>
    <w:rsid w:val="00993498"/>
    <w:rsid w:val="0099378C"/>
    <w:rsid w:val="009941A5"/>
    <w:rsid w:val="009944A1"/>
    <w:rsid w:val="00994572"/>
    <w:rsid w:val="009948E0"/>
    <w:rsid w:val="00994BFF"/>
    <w:rsid w:val="009953E3"/>
    <w:rsid w:val="0099558B"/>
    <w:rsid w:val="0099640E"/>
    <w:rsid w:val="00996924"/>
    <w:rsid w:val="009969A1"/>
    <w:rsid w:val="00996DA1"/>
    <w:rsid w:val="00997A07"/>
    <w:rsid w:val="00997A39"/>
    <w:rsid w:val="009A02B6"/>
    <w:rsid w:val="009A05BD"/>
    <w:rsid w:val="009A0D1D"/>
    <w:rsid w:val="009A0E72"/>
    <w:rsid w:val="009A209D"/>
    <w:rsid w:val="009A3949"/>
    <w:rsid w:val="009A39B9"/>
    <w:rsid w:val="009A39CC"/>
    <w:rsid w:val="009A3EB9"/>
    <w:rsid w:val="009A43F2"/>
    <w:rsid w:val="009A4919"/>
    <w:rsid w:val="009A4D64"/>
    <w:rsid w:val="009A5C6F"/>
    <w:rsid w:val="009A608B"/>
    <w:rsid w:val="009A7A72"/>
    <w:rsid w:val="009B0220"/>
    <w:rsid w:val="009B063C"/>
    <w:rsid w:val="009B0B54"/>
    <w:rsid w:val="009B11D0"/>
    <w:rsid w:val="009B1D3D"/>
    <w:rsid w:val="009B2209"/>
    <w:rsid w:val="009B2AFE"/>
    <w:rsid w:val="009B378C"/>
    <w:rsid w:val="009B3F82"/>
    <w:rsid w:val="009B49D9"/>
    <w:rsid w:val="009B570D"/>
    <w:rsid w:val="009B670D"/>
    <w:rsid w:val="009B6992"/>
    <w:rsid w:val="009B6AC7"/>
    <w:rsid w:val="009B6F6C"/>
    <w:rsid w:val="009C0017"/>
    <w:rsid w:val="009C0634"/>
    <w:rsid w:val="009C0ED4"/>
    <w:rsid w:val="009C11B2"/>
    <w:rsid w:val="009C1D1B"/>
    <w:rsid w:val="009C2760"/>
    <w:rsid w:val="009C31D7"/>
    <w:rsid w:val="009C365B"/>
    <w:rsid w:val="009C3B4E"/>
    <w:rsid w:val="009C41FA"/>
    <w:rsid w:val="009C4B00"/>
    <w:rsid w:val="009C574A"/>
    <w:rsid w:val="009C6F5D"/>
    <w:rsid w:val="009C7B60"/>
    <w:rsid w:val="009C7FC7"/>
    <w:rsid w:val="009D0027"/>
    <w:rsid w:val="009D00A8"/>
    <w:rsid w:val="009D0473"/>
    <w:rsid w:val="009D047C"/>
    <w:rsid w:val="009D09AB"/>
    <w:rsid w:val="009D1516"/>
    <w:rsid w:val="009D1ECE"/>
    <w:rsid w:val="009D2298"/>
    <w:rsid w:val="009D29B7"/>
    <w:rsid w:val="009D2AC1"/>
    <w:rsid w:val="009D2EAD"/>
    <w:rsid w:val="009D2F5A"/>
    <w:rsid w:val="009D3550"/>
    <w:rsid w:val="009D36AD"/>
    <w:rsid w:val="009D37D4"/>
    <w:rsid w:val="009D3871"/>
    <w:rsid w:val="009D3D60"/>
    <w:rsid w:val="009D40DB"/>
    <w:rsid w:val="009D4863"/>
    <w:rsid w:val="009D57B9"/>
    <w:rsid w:val="009D57CC"/>
    <w:rsid w:val="009D588C"/>
    <w:rsid w:val="009D5D3D"/>
    <w:rsid w:val="009D5E30"/>
    <w:rsid w:val="009D683B"/>
    <w:rsid w:val="009D7272"/>
    <w:rsid w:val="009D761C"/>
    <w:rsid w:val="009D792B"/>
    <w:rsid w:val="009D79FB"/>
    <w:rsid w:val="009E05EF"/>
    <w:rsid w:val="009E087F"/>
    <w:rsid w:val="009E0E5E"/>
    <w:rsid w:val="009E150E"/>
    <w:rsid w:val="009E1911"/>
    <w:rsid w:val="009E194E"/>
    <w:rsid w:val="009E26F0"/>
    <w:rsid w:val="009E29A6"/>
    <w:rsid w:val="009E2BCE"/>
    <w:rsid w:val="009E341A"/>
    <w:rsid w:val="009E3B7D"/>
    <w:rsid w:val="009E4224"/>
    <w:rsid w:val="009E4617"/>
    <w:rsid w:val="009E5DF1"/>
    <w:rsid w:val="009E639F"/>
    <w:rsid w:val="009E6608"/>
    <w:rsid w:val="009E69DE"/>
    <w:rsid w:val="009E7C63"/>
    <w:rsid w:val="009F05CC"/>
    <w:rsid w:val="009F1CC3"/>
    <w:rsid w:val="009F1D17"/>
    <w:rsid w:val="009F3048"/>
    <w:rsid w:val="009F3383"/>
    <w:rsid w:val="009F38F3"/>
    <w:rsid w:val="009F476C"/>
    <w:rsid w:val="009F6174"/>
    <w:rsid w:val="009F6AC4"/>
    <w:rsid w:val="009F6B7E"/>
    <w:rsid w:val="009F6D1B"/>
    <w:rsid w:val="009F705B"/>
    <w:rsid w:val="009F70BF"/>
    <w:rsid w:val="009F72A5"/>
    <w:rsid w:val="009F754C"/>
    <w:rsid w:val="009F7686"/>
    <w:rsid w:val="00A0093A"/>
    <w:rsid w:val="00A00D7B"/>
    <w:rsid w:val="00A016DA"/>
    <w:rsid w:val="00A017F6"/>
    <w:rsid w:val="00A01C3F"/>
    <w:rsid w:val="00A021E9"/>
    <w:rsid w:val="00A02407"/>
    <w:rsid w:val="00A0242E"/>
    <w:rsid w:val="00A02D28"/>
    <w:rsid w:val="00A03306"/>
    <w:rsid w:val="00A0380E"/>
    <w:rsid w:val="00A03A09"/>
    <w:rsid w:val="00A0458C"/>
    <w:rsid w:val="00A04C54"/>
    <w:rsid w:val="00A052CA"/>
    <w:rsid w:val="00A0547F"/>
    <w:rsid w:val="00A060AD"/>
    <w:rsid w:val="00A0684E"/>
    <w:rsid w:val="00A06C2D"/>
    <w:rsid w:val="00A07B49"/>
    <w:rsid w:val="00A07BF9"/>
    <w:rsid w:val="00A103D7"/>
    <w:rsid w:val="00A1334F"/>
    <w:rsid w:val="00A13487"/>
    <w:rsid w:val="00A13D28"/>
    <w:rsid w:val="00A13FE7"/>
    <w:rsid w:val="00A1438B"/>
    <w:rsid w:val="00A144A8"/>
    <w:rsid w:val="00A165A1"/>
    <w:rsid w:val="00A1729E"/>
    <w:rsid w:val="00A172EF"/>
    <w:rsid w:val="00A179C5"/>
    <w:rsid w:val="00A20537"/>
    <w:rsid w:val="00A2053C"/>
    <w:rsid w:val="00A20A3B"/>
    <w:rsid w:val="00A20F5C"/>
    <w:rsid w:val="00A211DF"/>
    <w:rsid w:val="00A2248E"/>
    <w:rsid w:val="00A2466A"/>
    <w:rsid w:val="00A25469"/>
    <w:rsid w:val="00A257C2"/>
    <w:rsid w:val="00A259BC"/>
    <w:rsid w:val="00A265BF"/>
    <w:rsid w:val="00A2796A"/>
    <w:rsid w:val="00A279BF"/>
    <w:rsid w:val="00A27CCC"/>
    <w:rsid w:val="00A31931"/>
    <w:rsid w:val="00A3235F"/>
    <w:rsid w:val="00A32C12"/>
    <w:rsid w:val="00A33B90"/>
    <w:rsid w:val="00A34C46"/>
    <w:rsid w:val="00A34CAA"/>
    <w:rsid w:val="00A35B08"/>
    <w:rsid w:val="00A367DF"/>
    <w:rsid w:val="00A37544"/>
    <w:rsid w:val="00A40066"/>
    <w:rsid w:val="00A401D1"/>
    <w:rsid w:val="00A4063C"/>
    <w:rsid w:val="00A40E5F"/>
    <w:rsid w:val="00A40F49"/>
    <w:rsid w:val="00A41FB0"/>
    <w:rsid w:val="00A429BF"/>
    <w:rsid w:val="00A431C1"/>
    <w:rsid w:val="00A43D0D"/>
    <w:rsid w:val="00A43FB2"/>
    <w:rsid w:val="00A44811"/>
    <w:rsid w:val="00A44B9E"/>
    <w:rsid w:val="00A452DE"/>
    <w:rsid w:val="00A454B3"/>
    <w:rsid w:val="00A456A2"/>
    <w:rsid w:val="00A456D1"/>
    <w:rsid w:val="00A45CE3"/>
    <w:rsid w:val="00A45F00"/>
    <w:rsid w:val="00A466A2"/>
    <w:rsid w:val="00A46C6F"/>
    <w:rsid w:val="00A470DA"/>
    <w:rsid w:val="00A471EC"/>
    <w:rsid w:val="00A501FE"/>
    <w:rsid w:val="00A50280"/>
    <w:rsid w:val="00A50886"/>
    <w:rsid w:val="00A51950"/>
    <w:rsid w:val="00A51DBF"/>
    <w:rsid w:val="00A52118"/>
    <w:rsid w:val="00A5236E"/>
    <w:rsid w:val="00A526E0"/>
    <w:rsid w:val="00A527AC"/>
    <w:rsid w:val="00A53E84"/>
    <w:rsid w:val="00A54588"/>
    <w:rsid w:val="00A54899"/>
    <w:rsid w:val="00A55080"/>
    <w:rsid w:val="00A55774"/>
    <w:rsid w:val="00A55C7C"/>
    <w:rsid w:val="00A56DAA"/>
    <w:rsid w:val="00A6088C"/>
    <w:rsid w:val="00A6218A"/>
    <w:rsid w:val="00A62E47"/>
    <w:rsid w:val="00A63D74"/>
    <w:rsid w:val="00A63FB0"/>
    <w:rsid w:val="00A643EB"/>
    <w:rsid w:val="00A652CF"/>
    <w:rsid w:val="00A65B21"/>
    <w:rsid w:val="00A671E2"/>
    <w:rsid w:val="00A71A70"/>
    <w:rsid w:val="00A71E0F"/>
    <w:rsid w:val="00A72869"/>
    <w:rsid w:val="00A72BA2"/>
    <w:rsid w:val="00A73079"/>
    <w:rsid w:val="00A73C2A"/>
    <w:rsid w:val="00A73E8B"/>
    <w:rsid w:val="00A74714"/>
    <w:rsid w:val="00A74965"/>
    <w:rsid w:val="00A74B3A"/>
    <w:rsid w:val="00A74F4D"/>
    <w:rsid w:val="00A755D9"/>
    <w:rsid w:val="00A75927"/>
    <w:rsid w:val="00A770B9"/>
    <w:rsid w:val="00A7723B"/>
    <w:rsid w:val="00A777D0"/>
    <w:rsid w:val="00A77C90"/>
    <w:rsid w:val="00A817AE"/>
    <w:rsid w:val="00A819A6"/>
    <w:rsid w:val="00A81B4B"/>
    <w:rsid w:val="00A82DAE"/>
    <w:rsid w:val="00A83011"/>
    <w:rsid w:val="00A83D40"/>
    <w:rsid w:val="00A83F72"/>
    <w:rsid w:val="00A84322"/>
    <w:rsid w:val="00A84ADA"/>
    <w:rsid w:val="00A84BD4"/>
    <w:rsid w:val="00A85319"/>
    <w:rsid w:val="00A85876"/>
    <w:rsid w:val="00A85A76"/>
    <w:rsid w:val="00A8651E"/>
    <w:rsid w:val="00A867C9"/>
    <w:rsid w:val="00A901F0"/>
    <w:rsid w:val="00A90FBA"/>
    <w:rsid w:val="00A91802"/>
    <w:rsid w:val="00A91B9A"/>
    <w:rsid w:val="00A9255D"/>
    <w:rsid w:val="00A92B58"/>
    <w:rsid w:val="00A93076"/>
    <w:rsid w:val="00A93264"/>
    <w:rsid w:val="00A94270"/>
    <w:rsid w:val="00A9602D"/>
    <w:rsid w:val="00A96589"/>
    <w:rsid w:val="00A96696"/>
    <w:rsid w:val="00A9674E"/>
    <w:rsid w:val="00A96D6C"/>
    <w:rsid w:val="00A977E6"/>
    <w:rsid w:val="00A97F4D"/>
    <w:rsid w:val="00AA0063"/>
    <w:rsid w:val="00AA00C8"/>
    <w:rsid w:val="00AA06C3"/>
    <w:rsid w:val="00AA0D05"/>
    <w:rsid w:val="00AA109E"/>
    <w:rsid w:val="00AA15A8"/>
    <w:rsid w:val="00AA2C45"/>
    <w:rsid w:val="00AA40E6"/>
    <w:rsid w:val="00AA52E4"/>
    <w:rsid w:val="00AA5BB3"/>
    <w:rsid w:val="00AA5D6A"/>
    <w:rsid w:val="00AA5DDB"/>
    <w:rsid w:val="00AA5E39"/>
    <w:rsid w:val="00AA5F4C"/>
    <w:rsid w:val="00AA6079"/>
    <w:rsid w:val="00AA6158"/>
    <w:rsid w:val="00AA6577"/>
    <w:rsid w:val="00AA69B8"/>
    <w:rsid w:val="00AA6A36"/>
    <w:rsid w:val="00AA6D23"/>
    <w:rsid w:val="00AA73FA"/>
    <w:rsid w:val="00AA7AD5"/>
    <w:rsid w:val="00AB01F8"/>
    <w:rsid w:val="00AB040C"/>
    <w:rsid w:val="00AB04CC"/>
    <w:rsid w:val="00AB0C88"/>
    <w:rsid w:val="00AB100C"/>
    <w:rsid w:val="00AB3176"/>
    <w:rsid w:val="00AB37ED"/>
    <w:rsid w:val="00AB3E6C"/>
    <w:rsid w:val="00AB53D6"/>
    <w:rsid w:val="00AB69CC"/>
    <w:rsid w:val="00AB69DF"/>
    <w:rsid w:val="00AB69E3"/>
    <w:rsid w:val="00AB6B12"/>
    <w:rsid w:val="00AB72FD"/>
    <w:rsid w:val="00AC1183"/>
    <w:rsid w:val="00AC291D"/>
    <w:rsid w:val="00AC29BB"/>
    <w:rsid w:val="00AC34B7"/>
    <w:rsid w:val="00AC3526"/>
    <w:rsid w:val="00AC3DFF"/>
    <w:rsid w:val="00AC4AA3"/>
    <w:rsid w:val="00AC4DB2"/>
    <w:rsid w:val="00AC4FEF"/>
    <w:rsid w:val="00AC54B4"/>
    <w:rsid w:val="00AC5F49"/>
    <w:rsid w:val="00AC6750"/>
    <w:rsid w:val="00AC69F5"/>
    <w:rsid w:val="00AC6C1C"/>
    <w:rsid w:val="00AC7799"/>
    <w:rsid w:val="00AD22EE"/>
    <w:rsid w:val="00AD2FD9"/>
    <w:rsid w:val="00AD3EC3"/>
    <w:rsid w:val="00AD44C1"/>
    <w:rsid w:val="00AD4572"/>
    <w:rsid w:val="00AD490A"/>
    <w:rsid w:val="00AD49BF"/>
    <w:rsid w:val="00AD4F95"/>
    <w:rsid w:val="00AD5ACF"/>
    <w:rsid w:val="00AD649D"/>
    <w:rsid w:val="00AD66C1"/>
    <w:rsid w:val="00AD71A4"/>
    <w:rsid w:val="00AD7269"/>
    <w:rsid w:val="00AD7278"/>
    <w:rsid w:val="00AD7898"/>
    <w:rsid w:val="00AE02EA"/>
    <w:rsid w:val="00AE0867"/>
    <w:rsid w:val="00AE0D8C"/>
    <w:rsid w:val="00AE2356"/>
    <w:rsid w:val="00AE2D59"/>
    <w:rsid w:val="00AE349F"/>
    <w:rsid w:val="00AE354C"/>
    <w:rsid w:val="00AE3B39"/>
    <w:rsid w:val="00AE3E94"/>
    <w:rsid w:val="00AE4063"/>
    <w:rsid w:val="00AE4120"/>
    <w:rsid w:val="00AE4230"/>
    <w:rsid w:val="00AE43C4"/>
    <w:rsid w:val="00AE4F70"/>
    <w:rsid w:val="00AE5212"/>
    <w:rsid w:val="00AE5A1A"/>
    <w:rsid w:val="00AE5A28"/>
    <w:rsid w:val="00AE66BC"/>
    <w:rsid w:val="00AE6787"/>
    <w:rsid w:val="00AE698B"/>
    <w:rsid w:val="00AE69BE"/>
    <w:rsid w:val="00AE799A"/>
    <w:rsid w:val="00AE7BB6"/>
    <w:rsid w:val="00AE7CA7"/>
    <w:rsid w:val="00AF247C"/>
    <w:rsid w:val="00AF28F9"/>
    <w:rsid w:val="00AF29CF"/>
    <w:rsid w:val="00AF2F1A"/>
    <w:rsid w:val="00AF37C0"/>
    <w:rsid w:val="00AF3AEB"/>
    <w:rsid w:val="00AF3C7B"/>
    <w:rsid w:val="00AF3E1F"/>
    <w:rsid w:val="00AF5A60"/>
    <w:rsid w:val="00AF6AA1"/>
    <w:rsid w:val="00AF6D01"/>
    <w:rsid w:val="00AF6F2D"/>
    <w:rsid w:val="00AF72F7"/>
    <w:rsid w:val="00AF7D15"/>
    <w:rsid w:val="00B00572"/>
    <w:rsid w:val="00B00839"/>
    <w:rsid w:val="00B00BA0"/>
    <w:rsid w:val="00B00D1A"/>
    <w:rsid w:val="00B010C3"/>
    <w:rsid w:val="00B0123E"/>
    <w:rsid w:val="00B018E9"/>
    <w:rsid w:val="00B0197E"/>
    <w:rsid w:val="00B01AEA"/>
    <w:rsid w:val="00B01D8F"/>
    <w:rsid w:val="00B020C6"/>
    <w:rsid w:val="00B0246D"/>
    <w:rsid w:val="00B0260B"/>
    <w:rsid w:val="00B027A8"/>
    <w:rsid w:val="00B030F7"/>
    <w:rsid w:val="00B03177"/>
    <w:rsid w:val="00B0325C"/>
    <w:rsid w:val="00B0341D"/>
    <w:rsid w:val="00B03857"/>
    <w:rsid w:val="00B041A2"/>
    <w:rsid w:val="00B054E5"/>
    <w:rsid w:val="00B055B2"/>
    <w:rsid w:val="00B05CE4"/>
    <w:rsid w:val="00B06806"/>
    <w:rsid w:val="00B10309"/>
    <w:rsid w:val="00B11400"/>
    <w:rsid w:val="00B11790"/>
    <w:rsid w:val="00B11AA9"/>
    <w:rsid w:val="00B12297"/>
    <w:rsid w:val="00B1273D"/>
    <w:rsid w:val="00B127BD"/>
    <w:rsid w:val="00B1358D"/>
    <w:rsid w:val="00B13724"/>
    <w:rsid w:val="00B13E2E"/>
    <w:rsid w:val="00B1404F"/>
    <w:rsid w:val="00B14551"/>
    <w:rsid w:val="00B15172"/>
    <w:rsid w:val="00B152BF"/>
    <w:rsid w:val="00B15509"/>
    <w:rsid w:val="00B15C34"/>
    <w:rsid w:val="00B16513"/>
    <w:rsid w:val="00B168EA"/>
    <w:rsid w:val="00B16FD3"/>
    <w:rsid w:val="00B17260"/>
    <w:rsid w:val="00B17595"/>
    <w:rsid w:val="00B2053C"/>
    <w:rsid w:val="00B20787"/>
    <w:rsid w:val="00B2081E"/>
    <w:rsid w:val="00B21086"/>
    <w:rsid w:val="00B220CB"/>
    <w:rsid w:val="00B228BE"/>
    <w:rsid w:val="00B22E4A"/>
    <w:rsid w:val="00B231CE"/>
    <w:rsid w:val="00B234FC"/>
    <w:rsid w:val="00B23527"/>
    <w:rsid w:val="00B237FE"/>
    <w:rsid w:val="00B241D4"/>
    <w:rsid w:val="00B24540"/>
    <w:rsid w:val="00B245DB"/>
    <w:rsid w:val="00B2487E"/>
    <w:rsid w:val="00B253A1"/>
    <w:rsid w:val="00B2546B"/>
    <w:rsid w:val="00B25BE6"/>
    <w:rsid w:val="00B260B0"/>
    <w:rsid w:val="00B27A5A"/>
    <w:rsid w:val="00B32298"/>
    <w:rsid w:val="00B32351"/>
    <w:rsid w:val="00B3251C"/>
    <w:rsid w:val="00B33A0C"/>
    <w:rsid w:val="00B33E7B"/>
    <w:rsid w:val="00B354C7"/>
    <w:rsid w:val="00B35530"/>
    <w:rsid w:val="00B3566F"/>
    <w:rsid w:val="00B35A2F"/>
    <w:rsid w:val="00B35CFF"/>
    <w:rsid w:val="00B365D5"/>
    <w:rsid w:val="00B37B39"/>
    <w:rsid w:val="00B37F8E"/>
    <w:rsid w:val="00B4100A"/>
    <w:rsid w:val="00B4120D"/>
    <w:rsid w:val="00B412D1"/>
    <w:rsid w:val="00B4130F"/>
    <w:rsid w:val="00B41812"/>
    <w:rsid w:val="00B42A1D"/>
    <w:rsid w:val="00B42B7E"/>
    <w:rsid w:val="00B42C3F"/>
    <w:rsid w:val="00B4370E"/>
    <w:rsid w:val="00B43EB1"/>
    <w:rsid w:val="00B440F5"/>
    <w:rsid w:val="00B441E6"/>
    <w:rsid w:val="00B44866"/>
    <w:rsid w:val="00B44D5F"/>
    <w:rsid w:val="00B44EEB"/>
    <w:rsid w:val="00B45929"/>
    <w:rsid w:val="00B45B60"/>
    <w:rsid w:val="00B45C2E"/>
    <w:rsid w:val="00B46721"/>
    <w:rsid w:val="00B470F6"/>
    <w:rsid w:val="00B47805"/>
    <w:rsid w:val="00B519AF"/>
    <w:rsid w:val="00B51A62"/>
    <w:rsid w:val="00B52396"/>
    <w:rsid w:val="00B5268B"/>
    <w:rsid w:val="00B52D2B"/>
    <w:rsid w:val="00B5321D"/>
    <w:rsid w:val="00B53A05"/>
    <w:rsid w:val="00B5412E"/>
    <w:rsid w:val="00B54C97"/>
    <w:rsid w:val="00B556E1"/>
    <w:rsid w:val="00B5645B"/>
    <w:rsid w:val="00B571D7"/>
    <w:rsid w:val="00B5741E"/>
    <w:rsid w:val="00B60036"/>
    <w:rsid w:val="00B601B4"/>
    <w:rsid w:val="00B607FD"/>
    <w:rsid w:val="00B60C4B"/>
    <w:rsid w:val="00B61B90"/>
    <w:rsid w:val="00B62312"/>
    <w:rsid w:val="00B62591"/>
    <w:rsid w:val="00B62747"/>
    <w:rsid w:val="00B6308C"/>
    <w:rsid w:val="00B631E4"/>
    <w:rsid w:val="00B63756"/>
    <w:rsid w:val="00B63F1A"/>
    <w:rsid w:val="00B643CB"/>
    <w:rsid w:val="00B64673"/>
    <w:rsid w:val="00B64843"/>
    <w:rsid w:val="00B65046"/>
    <w:rsid w:val="00B65E4D"/>
    <w:rsid w:val="00B65F92"/>
    <w:rsid w:val="00B6650A"/>
    <w:rsid w:val="00B66DC2"/>
    <w:rsid w:val="00B67093"/>
    <w:rsid w:val="00B67BC9"/>
    <w:rsid w:val="00B67F7E"/>
    <w:rsid w:val="00B67F9A"/>
    <w:rsid w:val="00B70976"/>
    <w:rsid w:val="00B70FCB"/>
    <w:rsid w:val="00B710EE"/>
    <w:rsid w:val="00B7185B"/>
    <w:rsid w:val="00B72417"/>
    <w:rsid w:val="00B72AD8"/>
    <w:rsid w:val="00B72D5A"/>
    <w:rsid w:val="00B73C4E"/>
    <w:rsid w:val="00B73E60"/>
    <w:rsid w:val="00B744A2"/>
    <w:rsid w:val="00B74CC7"/>
    <w:rsid w:val="00B75199"/>
    <w:rsid w:val="00B75230"/>
    <w:rsid w:val="00B75603"/>
    <w:rsid w:val="00B75A54"/>
    <w:rsid w:val="00B75AA0"/>
    <w:rsid w:val="00B75D30"/>
    <w:rsid w:val="00B76879"/>
    <w:rsid w:val="00B76BC2"/>
    <w:rsid w:val="00B7730E"/>
    <w:rsid w:val="00B77322"/>
    <w:rsid w:val="00B77C0B"/>
    <w:rsid w:val="00B80677"/>
    <w:rsid w:val="00B80D5B"/>
    <w:rsid w:val="00B814F6"/>
    <w:rsid w:val="00B81A7D"/>
    <w:rsid w:val="00B81F74"/>
    <w:rsid w:val="00B8216A"/>
    <w:rsid w:val="00B821D6"/>
    <w:rsid w:val="00B82BF3"/>
    <w:rsid w:val="00B82C97"/>
    <w:rsid w:val="00B849FE"/>
    <w:rsid w:val="00B84B1A"/>
    <w:rsid w:val="00B84D20"/>
    <w:rsid w:val="00B8550C"/>
    <w:rsid w:val="00B85D24"/>
    <w:rsid w:val="00B8655A"/>
    <w:rsid w:val="00B86726"/>
    <w:rsid w:val="00B86C81"/>
    <w:rsid w:val="00B870A6"/>
    <w:rsid w:val="00B87525"/>
    <w:rsid w:val="00B879DD"/>
    <w:rsid w:val="00B91BF7"/>
    <w:rsid w:val="00B922D8"/>
    <w:rsid w:val="00B92460"/>
    <w:rsid w:val="00B92B4E"/>
    <w:rsid w:val="00B956BD"/>
    <w:rsid w:val="00BA0682"/>
    <w:rsid w:val="00BA0A99"/>
    <w:rsid w:val="00BA1363"/>
    <w:rsid w:val="00BA1876"/>
    <w:rsid w:val="00BA24BC"/>
    <w:rsid w:val="00BA289B"/>
    <w:rsid w:val="00BA35B2"/>
    <w:rsid w:val="00BA3660"/>
    <w:rsid w:val="00BA4050"/>
    <w:rsid w:val="00BA5795"/>
    <w:rsid w:val="00BA65B5"/>
    <w:rsid w:val="00BA668D"/>
    <w:rsid w:val="00BA6C4C"/>
    <w:rsid w:val="00BA7055"/>
    <w:rsid w:val="00BA7453"/>
    <w:rsid w:val="00BA7D0B"/>
    <w:rsid w:val="00BA7EC2"/>
    <w:rsid w:val="00BB05F9"/>
    <w:rsid w:val="00BB0E12"/>
    <w:rsid w:val="00BB0F5C"/>
    <w:rsid w:val="00BB1007"/>
    <w:rsid w:val="00BB1016"/>
    <w:rsid w:val="00BB1176"/>
    <w:rsid w:val="00BB1523"/>
    <w:rsid w:val="00BB19C2"/>
    <w:rsid w:val="00BB1F38"/>
    <w:rsid w:val="00BB2165"/>
    <w:rsid w:val="00BB2C74"/>
    <w:rsid w:val="00BB2FA6"/>
    <w:rsid w:val="00BB4EDD"/>
    <w:rsid w:val="00BB5520"/>
    <w:rsid w:val="00BB600B"/>
    <w:rsid w:val="00BB61D0"/>
    <w:rsid w:val="00BB680B"/>
    <w:rsid w:val="00BB68DE"/>
    <w:rsid w:val="00BB6F9C"/>
    <w:rsid w:val="00BC03C8"/>
    <w:rsid w:val="00BC0AD7"/>
    <w:rsid w:val="00BC1EB0"/>
    <w:rsid w:val="00BC22CC"/>
    <w:rsid w:val="00BC2665"/>
    <w:rsid w:val="00BC276A"/>
    <w:rsid w:val="00BC3652"/>
    <w:rsid w:val="00BC3921"/>
    <w:rsid w:val="00BC469E"/>
    <w:rsid w:val="00BC4C0F"/>
    <w:rsid w:val="00BC5215"/>
    <w:rsid w:val="00BC5996"/>
    <w:rsid w:val="00BC5C48"/>
    <w:rsid w:val="00BC5C4B"/>
    <w:rsid w:val="00BC5C6C"/>
    <w:rsid w:val="00BC5E6F"/>
    <w:rsid w:val="00BC62C2"/>
    <w:rsid w:val="00BC676C"/>
    <w:rsid w:val="00BC73FC"/>
    <w:rsid w:val="00BC7548"/>
    <w:rsid w:val="00BC78E5"/>
    <w:rsid w:val="00BC7A21"/>
    <w:rsid w:val="00BC7E85"/>
    <w:rsid w:val="00BD0BC7"/>
    <w:rsid w:val="00BD181D"/>
    <w:rsid w:val="00BD21CE"/>
    <w:rsid w:val="00BD2F9B"/>
    <w:rsid w:val="00BD4096"/>
    <w:rsid w:val="00BD45E3"/>
    <w:rsid w:val="00BD4CC2"/>
    <w:rsid w:val="00BD52FD"/>
    <w:rsid w:val="00BD570A"/>
    <w:rsid w:val="00BD5D7A"/>
    <w:rsid w:val="00BD5DE8"/>
    <w:rsid w:val="00BD6A76"/>
    <w:rsid w:val="00BD726E"/>
    <w:rsid w:val="00BD7C16"/>
    <w:rsid w:val="00BE0562"/>
    <w:rsid w:val="00BE0B58"/>
    <w:rsid w:val="00BE166A"/>
    <w:rsid w:val="00BE1E9E"/>
    <w:rsid w:val="00BE1F04"/>
    <w:rsid w:val="00BE2269"/>
    <w:rsid w:val="00BE290A"/>
    <w:rsid w:val="00BE2F67"/>
    <w:rsid w:val="00BE309A"/>
    <w:rsid w:val="00BE321D"/>
    <w:rsid w:val="00BE33DE"/>
    <w:rsid w:val="00BE3459"/>
    <w:rsid w:val="00BE3785"/>
    <w:rsid w:val="00BE474A"/>
    <w:rsid w:val="00BE56EE"/>
    <w:rsid w:val="00BE5B2D"/>
    <w:rsid w:val="00BE5E43"/>
    <w:rsid w:val="00BE5E44"/>
    <w:rsid w:val="00BE5E79"/>
    <w:rsid w:val="00BE6750"/>
    <w:rsid w:val="00BE6E18"/>
    <w:rsid w:val="00BE7368"/>
    <w:rsid w:val="00BE778C"/>
    <w:rsid w:val="00BF0212"/>
    <w:rsid w:val="00BF044B"/>
    <w:rsid w:val="00BF09AF"/>
    <w:rsid w:val="00BF09D6"/>
    <w:rsid w:val="00BF0B40"/>
    <w:rsid w:val="00BF0C4F"/>
    <w:rsid w:val="00BF17E2"/>
    <w:rsid w:val="00BF2847"/>
    <w:rsid w:val="00BF3A46"/>
    <w:rsid w:val="00BF42AD"/>
    <w:rsid w:val="00BF4F37"/>
    <w:rsid w:val="00BF54C2"/>
    <w:rsid w:val="00BF5875"/>
    <w:rsid w:val="00BF59B9"/>
    <w:rsid w:val="00BF6279"/>
    <w:rsid w:val="00BF71ED"/>
    <w:rsid w:val="00BF7340"/>
    <w:rsid w:val="00BF78DD"/>
    <w:rsid w:val="00C010CE"/>
    <w:rsid w:val="00C01498"/>
    <w:rsid w:val="00C018D1"/>
    <w:rsid w:val="00C0273D"/>
    <w:rsid w:val="00C02A3B"/>
    <w:rsid w:val="00C02B07"/>
    <w:rsid w:val="00C02BD6"/>
    <w:rsid w:val="00C034F3"/>
    <w:rsid w:val="00C0383F"/>
    <w:rsid w:val="00C0458D"/>
    <w:rsid w:val="00C046BB"/>
    <w:rsid w:val="00C0544E"/>
    <w:rsid w:val="00C057E5"/>
    <w:rsid w:val="00C05DCD"/>
    <w:rsid w:val="00C06B5B"/>
    <w:rsid w:val="00C07692"/>
    <w:rsid w:val="00C076B7"/>
    <w:rsid w:val="00C07BFA"/>
    <w:rsid w:val="00C106C2"/>
    <w:rsid w:val="00C10C4A"/>
    <w:rsid w:val="00C113F9"/>
    <w:rsid w:val="00C11907"/>
    <w:rsid w:val="00C11D2C"/>
    <w:rsid w:val="00C12406"/>
    <w:rsid w:val="00C12483"/>
    <w:rsid w:val="00C133ED"/>
    <w:rsid w:val="00C133F3"/>
    <w:rsid w:val="00C14E39"/>
    <w:rsid w:val="00C153E3"/>
    <w:rsid w:val="00C154AB"/>
    <w:rsid w:val="00C15654"/>
    <w:rsid w:val="00C158C1"/>
    <w:rsid w:val="00C15C97"/>
    <w:rsid w:val="00C160C7"/>
    <w:rsid w:val="00C167DA"/>
    <w:rsid w:val="00C1758C"/>
    <w:rsid w:val="00C176E4"/>
    <w:rsid w:val="00C2021B"/>
    <w:rsid w:val="00C21417"/>
    <w:rsid w:val="00C214DB"/>
    <w:rsid w:val="00C21EB2"/>
    <w:rsid w:val="00C224BB"/>
    <w:rsid w:val="00C23FB0"/>
    <w:rsid w:val="00C243FE"/>
    <w:rsid w:val="00C24480"/>
    <w:rsid w:val="00C2500B"/>
    <w:rsid w:val="00C25088"/>
    <w:rsid w:val="00C258AD"/>
    <w:rsid w:val="00C25D7E"/>
    <w:rsid w:val="00C25FC8"/>
    <w:rsid w:val="00C26560"/>
    <w:rsid w:val="00C267AE"/>
    <w:rsid w:val="00C2727E"/>
    <w:rsid w:val="00C272D9"/>
    <w:rsid w:val="00C27C2D"/>
    <w:rsid w:val="00C27DC5"/>
    <w:rsid w:val="00C27F48"/>
    <w:rsid w:val="00C3035B"/>
    <w:rsid w:val="00C30BB2"/>
    <w:rsid w:val="00C31E94"/>
    <w:rsid w:val="00C3264E"/>
    <w:rsid w:val="00C3279E"/>
    <w:rsid w:val="00C32BE0"/>
    <w:rsid w:val="00C32F18"/>
    <w:rsid w:val="00C32FF7"/>
    <w:rsid w:val="00C331B2"/>
    <w:rsid w:val="00C3328A"/>
    <w:rsid w:val="00C333AD"/>
    <w:rsid w:val="00C3376F"/>
    <w:rsid w:val="00C349CC"/>
    <w:rsid w:val="00C35F0C"/>
    <w:rsid w:val="00C36316"/>
    <w:rsid w:val="00C36BA7"/>
    <w:rsid w:val="00C36FDC"/>
    <w:rsid w:val="00C370AE"/>
    <w:rsid w:val="00C37AC4"/>
    <w:rsid w:val="00C37F98"/>
    <w:rsid w:val="00C402AB"/>
    <w:rsid w:val="00C40AD4"/>
    <w:rsid w:val="00C40FE6"/>
    <w:rsid w:val="00C41742"/>
    <w:rsid w:val="00C4175E"/>
    <w:rsid w:val="00C41BB7"/>
    <w:rsid w:val="00C41C92"/>
    <w:rsid w:val="00C420F8"/>
    <w:rsid w:val="00C42A86"/>
    <w:rsid w:val="00C43193"/>
    <w:rsid w:val="00C43C27"/>
    <w:rsid w:val="00C44314"/>
    <w:rsid w:val="00C449DE"/>
    <w:rsid w:val="00C44A4C"/>
    <w:rsid w:val="00C44C7C"/>
    <w:rsid w:val="00C45621"/>
    <w:rsid w:val="00C4580B"/>
    <w:rsid w:val="00C45B58"/>
    <w:rsid w:val="00C45D77"/>
    <w:rsid w:val="00C4677E"/>
    <w:rsid w:val="00C46B3C"/>
    <w:rsid w:val="00C47690"/>
    <w:rsid w:val="00C501FF"/>
    <w:rsid w:val="00C506D1"/>
    <w:rsid w:val="00C50937"/>
    <w:rsid w:val="00C51DEC"/>
    <w:rsid w:val="00C51F5A"/>
    <w:rsid w:val="00C5247E"/>
    <w:rsid w:val="00C53D6C"/>
    <w:rsid w:val="00C54699"/>
    <w:rsid w:val="00C5490B"/>
    <w:rsid w:val="00C549FF"/>
    <w:rsid w:val="00C54A13"/>
    <w:rsid w:val="00C54E70"/>
    <w:rsid w:val="00C553A7"/>
    <w:rsid w:val="00C55921"/>
    <w:rsid w:val="00C55ED4"/>
    <w:rsid w:val="00C5642A"/>
    <w:rsid w:val="00C569F4"/>
    <w:rsid w:val="00C576F2"/>
    <w:rsid w:val="00C57FD0"/>
    <w:rsid w:val="00C57FDC"/>
    <w:rsid w:val="00C607FE"/>
    <w:rsid w:val="00C60A88"/>
    <w:rsid w:val="00C60E09"/>
    <w:rsid w:val="00C60F6A"/>
    <w:rsid w:val="00C617BC"/>
    <w:rsid w:val="00C61F11"/>
    <w:rsid w:val="00C63605"/>
    <w:rsid w:val="00C63DCB"/>
    <w:rsid w:val="00C6444D"/>
    <w:rsid w:val="00C64711"/>
    <w:rsid w:val="00C65BBF"/>
    <w:rsid w:val="00C66674"/>
    <w:rsid w:val="00C66952"/>
    <w:rsid w:val="00C66E47"/>
    <w:rsid w:val="00C709D1"/>
    <w:rsid w:val="00C70BF4"/>
    <w:rsid w:val="00C719B3"/>
    <w:rsid w:val="00C71CB9"/>
    <w:rsid w:val="00C73638"/>
    <w:rsid w:val="00C73A38"/>
    <w:rsid w:val="00C7428F"/>
    <w:rsid w:val="00C7475D"/>
    <w:rsid w:val="00C749AE"/>
    <w:rsid w:val="00C74B40"/>
    <w:rsid w:val="00C753DC"/>
    <w:rsid w:val="00C75742"/>
    <w:rsid w:val="00C7599E"/>
    <w:rsid w:val="00C763A4"/>
    <w:rsid w:val="00C76954"/>
    <w:rsid w:val="00C76E6D"/>
    <w:rsid w:val="00C772EA"/>
    <w:rsid w:val="00C8012A"/>
    <w:rsid w:val="00C8054B"/>
    <w:rsid w:val="00C8070E"/>
    <w:rsid w:val="00C80EB3"/>
    <w:rsid w:val="00C81C44"/>
    <w:rsid w:val="00C82B16"/>
    <w:rsid w:val="00C82D62"/>
    <w:rsid w:val="00C82FC8"/>
    <w:rsid w:val="00C835C9"/>
    <w:rsid w:val="00C836EC"/>
    <w:rsid w:val="00C83D65"/>
    <w:rsid w:val="00C84567"/>
    <w:rsid w:val="00C85311"/>
    <w:rsid w:val="00C8544C"/>
    <w:rsid w:val="00C86A75"/>
    <w:rsid w:val="00C86ABD"/>
    <w:rsid w:val="00C86F72"/>
    <w:rsid w:val="00C8743A"/>
    <w:rsid w:val="00C87931"/>
    <w:rsid w:val="00C901D4"/>
    <w:rsid w:val="00C905CE"/>
    <w:rsid w:val="00C905EF"/>
    <w:rsid w:val="00C90614"/>
    <w:rsid w:val="00C90DF8"/>
    <w:rsid w:val="00C91CAB"/>
    <w:rsid w:val="00C92D01"/>
    <w:rsid w:val="00C9363E"/>
    <w:rsid w:val="00C93D96"/>
    <w:rsid w:val="00C93F09"/>
    <w:rsid w:val="00C9450A"/>
    <w:rsid w:val="00C94523"/>
    <w:rsid w:val="00C945A6"/>
    <w:rsid w:val="00C945AE"/>
    <w:rsid w:val="00C9487C"/>
    <w:rsid w:val="00C948B5"/>
    <w:rsid w:val="00C95536"/>
    <w:rsid w:val="00C958C0"/>
    <w:rsid w:val="00C95D7F"/>
    <w:rsid w:val="00C95DD7"/>
    <w:rsid w:val="00C961E9"/>
    <w:rsid w:val="00C96988"/>
    <w:rsid w:val="00C96F0A"/>
    <w:rsid w:val="00C96F7B"/>
    <w:rsid w:val="00C97295"/>
    <w:rsid w:val="00C976B4"/>
    <w:rsid w:val="00CA005E"/>
    <w:rsid w:val="00CA0417"/>
    <w:rsid w:val="00CA09B9"/>
    <w:rsid w:val="00CA0CDF"/>
    <w:rsid w:val="00CA1094"/>
    <w:rsid w:val="00CA1ADF"/>
    <w:rsid w:val="00CA1E4C"/>
    <w:rsid w:val="00CA2BB6"/>
    <w:rsid w:val="00CA2D9D"/>
    <w:rsid w:val="00CA3027"/>
    <w:rsid w:val="00CA4653"/>
    <w:rsid w:val="00CA5065"/>
    <w:rsid w:val="00CA56D6"/>
    <w:rsid w:val="00CA5973"/>
    <w:rsid w:val="00CA63FE"/>
    <w:rsid w:val="00CA6CAB"/>
    <w:rsid w:val="00CA6DA0"/>
    <w:rsid w:val="00CA7468"/>
    <w:rsid w:val="00CA7E12"/>
    <w:rsid w:val="00CA7F01"/>
    <w:rsid w:val="00CB03B8"/>
    <w:rsid w:val="00CB0C50"/>
    <w:rsid w:val="00CB0CB8"/>
    <w:rsid w:val="00CB0F4A"/>
    <w:rsid w:val="00CB110F"/>
    <w:rsid w:val="00CB1422"/>
    <w:rsid w:val="00CB1EBB"/>
    <w:rsid w:val="00CB1FCF"/>
    <w:rsid w:val="00CB28E3"/>
    <w:rsid w:val="00CB2B3F"/>
    <w:rsid w:val="00CB2E17"/>
    <w:rsid w:val="00CB328A"/>
    <w:rsid w:val="00CB399F"/>
    <w:rsid w:val="00CB3BCB"/>
    <w:rsid w:val="00CB42FC"/>
    <w:rsid w:val="00CB43ED"/>
    <w:rsid w:val="00CB4D0B"/>
    <w:rsid w:val="00CB526A"/>
    <w:rsid w:val="00CB54D4"/>
    <w:rsid w:val="00CB5C9D"/>
    <w:rsid w:val="00CB5D2B"/>
    <w:rsid w:val="00CB612E"/>
    <w:rsid w:val="00CB668D"/>
    <w:rsid w:val="00CB6758"/>
    <w:rsid w:val="00CB6A87"/>
    <w:rsid w:val="00CB6C00"/>
    <w:rsid w:val="00CB745B"/>
    <w:rsid w:val="00CC0153"/>
    <w:rsid w:val="00CC0363"/>
    <w:rsid w:val="00CC07DC"/>
    <w:rsid w:val="00CC1148"/>
    <w:rsid w:val="00CC1A4B"/>
    <w:rsid w:val="00CC1E06"/>
    <w:rsid w:val="00CC2B6B"/>
    <w:rsid w:val="00CC3034"/>
    <w:rsid w:val="00CC315F"/>
    <w:rsid w:val="00CC32DB"/>
    <w:rsid w:val="00CC386E"/>
    <w:rsid w:val="00CC527D"/>
    <w:rsid w:val="00CC6C70"/>
    <w:rsid w:val="00CC7CCC"/>
    <w:rsid w:val="00CC7EE7"/>
    <w:rsid w:val="00CD01F9"/>
    <w:rsid w:val="00CD073C"/>
    <w:rsid w:val="00CD085B"/>
    <w:rsid w:val="00CD0DBE"/>
    <w:rsid w:val="00CD13A2"/>
    <w:rsid w:val="00CD1812"/>
    <w:rsid w:val="00CD1A1C"/>
    <w:rsid w:val="00CD1C90"/>
    <w:rsid w:val="00CD1E74"/>
    <w:rsid w:val="00CD2156"/>
    <w:rsid w:val="00CD383D"/>
    <w:rsid w:val="00CD3A0B"/>
    <w:rsid w:val="00CD4F07"/>
    <w:rsid w:val="00CD55B4"/>
    <w:rsid w:val="00CD56CD"/>
    <w:rsid w:val="00CD5B33"/>
    <w:rsid w:val="00CD6B0A"/>
    <w:rsid w:val="00CD6D36"/>
    <w:rsid w:val="00CD7589"/>
    <w:rsid w:val="00CD77D3"/>
    <w:rsid w:val="00CD7B97"/>
    <w:rsid w:val="00CE02D0"/>
    <w:rsid w:val="00CE091B"/>
    <w:rsid w:val="00CE2261"/>
    <w:rsid w:val="00CE24CA"/>
    <w:rsid w:val="00CE2B6A"/>
    <w:rsid w:val="00CE2EEC"/>
    <w:rsid w:val="00CE3219"/>
    <w:rsid w:val="00CE3A44"/>
    <w:rsid w:val="00CE3D83"/>
    <w:rsid w:val="00CE3EBE"/>
    <w:rsid w:val="00CE4245"/>
    <w:rsid w:val="00CE5A4C"/>
    <w:rsid w:val="00CE6D95"/>
    <w:rsid w:val="00CE6E81"/>
    <w:rsid w:val="00CE7236"/>
    <w:rsid w:val="00CE7700"/>
    <w:rsid w:val="00CE77A0"/>
    <w:rsid w:val="00CE7C95"/>
    <w:rsid w:val="00CF0171"/>
    <w:rsid w:val="00CF0DE2"/>
    <w:rsid w:val="00CF0E44"/>
    <w:rsid w:val="00CF142A"/>
    <w:rsid w:val="00CF167F"/>
    <w:rsid w:val="00CF1976"/>
    <w:rsid w:val="00CF1A47"/>
    <w:rsid w:val="00CF1CDC"/>
    <w:rsid w:val="00CF1F69"/>
    <w:rsid w:val="00CF205D"/>
    <w:rsid w:val="00CF21A8"/>
    <w:rsid w:val="00CF25F8"/>
    <w:rsid w:val="00CF3AE7"/>
    <w:rsid w:val="00CF3BD5"/>
    <w:rsid w:val="00CF3D56"/>
    <w:rsid w:val="00CF45B6"/>
    <w:rsid w:val="00CF4AD8"/>
    <w:rsid w:val="00CF4D32"/>
    <w:rsid w:val="00CF529C"/>
    <w:rsid w:val="00CF6275"/>
    <w:rsid w:val="00CF6533"/>
    <w:rsid w:val="00CF6602"/>
    <w:rsid w:val="00CF6CC5"/>
    <w:rsid w:val="00CF74FA"/>
    <w:rsid w:val="00CF7C95"/>
    <w:rsid w:val="00D00107"/>
    <w:rsid w:val="00D001A4"/>
    <w:rsid w:val="00D016FE"/>
    <w:rsid w:val="00D01B75"/>
    <w:rsid w:val="00D01C8A"/>
    <w:rsid w:val="00D03A3A"/>
    <w:rsid w:val="00D04340"/>
    <w:rsid w:val="00D0455E"/>
    <w:rsid w:val="00D04A3D"/>
    <w:rsid w:val="00D059EA"/>
    <w:rsid w:val="00D05EE2"/>
    <w:rsid w:val="00D07817"/>
    <w:rsid w:val="00D1008E"/>
    <w:rsid w:val="00D11651"/>
    <w:rsid w:val="00D117CA"/>
    <w:rsid w:val="00D11FAB"/>
    <w:rsid w:val="00D133FD"/>
    <w:rsid w:val="00D1372A"/>
    <w:rsid w:val="00D13C3E"/>
    <w:rsid w:val="00D13F3B"/>
    <w:rsid w:val="00D141E8"/>
    <w:rsid w:val="00D15384"/>
    <w:rsid w:val="00D15FDD"/>
    <w:rsid w:val="00D16C32"/>
    <w:rsid w:val="00D16C96"/>
    <w:rsid w:val="00D173BF"/>
    <w:rsid w:val="00D17A6F"/>
    <w:rsid w:val="00D2011A"/>
    <w:rsid w:val="00D208F3"/>
    <w:rsid w:val="00D21552"/>
    <w:rsid w:val="00D21AA4"/>
    <w:rsid w:val="00D22227"/>
    <w:rsid w:val="00D224A9"/>
    <w:rsid w:val="00D227A8"/>
    <w:rsid w:val="00D227AC"/>
    <w:rsid w:val="00D24163"/>
    <w:rsid w:val="00D248DB"/>
    <w:rsid w:val="00D24DD7"/>
    <w:rsid w:val="00D24EF3"/>
    <w:rsid w:val="00D250DC"/>
    <w:rsid w:val="00D261AF"/>
    <w:rsid w:val="00D26372"/>
    <w:rsid w:val="00D26502"/>
    <w:rsid w:val="00D266C9"/>
    <w:rsid w:val="00D26A73"/>
    <w:rsid w:val="00D2713B"/>
    <w:rsid w:val="00D2784C"/>
    <w:rsid w:val="00D27F22"/>
    <w:rsid w:val="00D27F52"/>
    <w:rsid w:val="00D30092"/>
    <w:rsid w:val="00D31BA9"/>
    <w:rsid w:val="00D32117"/>
    <w:rsid w:val="00D3232A"/>
    <w:rsid w:val="00D32FAE"/>
    <w:rsid w:val="00D33182"/>
    <w:rsid w:val="00D335A8"/>
    <w:rsid w:val="00D33C7A"/>
    <w:rsid w:val="00D33DAA"/>
    <w:rsid w:val="00D342C1"/>
    <w:rsid w:val="00D3444C"/>
    <w:rsid w:val="00D3475E"/>
    <w:rsid w:val="00D34B5E"/>
    <w:rsid w:val="00D35B4F"/>
    <w:rsid w:val="00D36210"/>
    <w:rsid w:val="00D36DA0"/>
    <w:rsid w:val="00D3706B"/>
    <w:rsid w:val="00D37295"/>
    <w:rsid w:val="00D37776"/>
    <w:rsid w:val="00D40537"/>
    <w:rsid w:val="00D415ED"/>
    <w:rsid w:val="00D41884"/>
    <w:rsid w:val="00D422F3"/>
    <w:rsid w:val="00D425B0"/>
    <w:rsid w:val="00D42F33"/>
    <w:rsid w:val="00D439E1"/>
    <w:rsid w:val="00D4408E"/>
    <w:rsid w:val="00D44B15"/>
    <w:rsid w:val="00D450B6"/>
    <w:rsid w:val="00D45407"/>
    <w:rsid w:val="00D455C3"/>
    <w:rsid w:val="00D455D3"/>
    <w:rsid w:val="00D464C7"/>
    <w:rsid w:val="00D4663D"/>
    <w:rsid w:val="00D46DBF"/>
    <w:rsid w:val="00D4715F"/>
    <w:rsid w:val="00D479D5"/>
    <w:rsid w:val="00D479E7"/>
    <w:rsid w:val="00D47DFE"/>
    <w:rsid w:val="00D47E64"/>
    <w:rsid w:val="00D50400"/>
    <w:rsid w:val="00D5141D"/>
    <w:rsid w:val="00D51723"/>
    <w:rsid w:val="00D51939"/>
    <w:rsid w:val="00D5227D"/>
    <w:rsid w:val="00D52304"/>
    <w:rsid w:val="00D53058"/>
    <w:rsid w:val="00D531B5"/>
    <w:rsid w:val="00D53983"/>
    <w:rsid w:val="00D539A5"/>
    <w:rsid w:val="00D53F82"/>
    <w:rsid w:val="00D541A2"/>
    <w:rsid w:val="00D54E36"/>
    <w:rsid w:val="00D5518C"/>
    <w:rsid w:val="00D5591E"/>
    <w:rsid w:val="00D55A86"/>
    <w:rsid w:val="00D55BB9"/>
    <w:rsid w:val="00D56FBD"/>
    <w:rsid w:val="00D57C9B"/>
    <w:rsid w:val="00D57F00"/>
    <w:rsid w:val="00D60B1A"/>
    <w:rsid w:val="00D610E8"/>
    <w:rsid w:val="00D611E8"/>
    <w:rsid w:val="00D61686"/>
    <w:rsid w:val="00D618E7"/>
    <w:rsid w:val="00D61EC4"/>
    <w:rsid w:val="00D61FAB"/>
    <w:rsid w:val="00D62967"/>
    <w:rsid w:val="00D638EA"/>
    <w:rsid w:val="00D63CA5"/>
    <w:rsid w:val="00D6430B"/>
    <w:rsid w:val="00D645AC"/>
    <w:rsid w:val="00D649D1"/>
    <w:rsid w:val="00D64B95"/>
    <w:rsid w:val="00D65207"/>
    <w:rsid w:val="00D65282"/>
    <w:rsid w:val="00D65917"/>
    <w:rsid w:val="00D65B32"/>
    <w:rsid w:val="00D66954"/>
    <w:rsid w:val="00D66C7C"/>
    <w:rsid w:val="00D6767C"/>
    <w:rsid w:val="00D676C2"/>
    <w:rsid w:val="00D709CD"/>
    <w:rsid w:val="00D710A4"/>
    <w:rsid w:val="00D711E9"/>
    <w:rsid w:val="00D740AD"/>
    <w:rsid w:val="00D74A1F"/>
    <w:rsid w:val="00D750B9"/>
    <w:rsid w:val="00D762AE"/>
    <w:rsid w:val="00D80976"/>
    <w:rsid w:val="00D80A89"/>
    <w:rsid w:val="00D8118A"/>
    <w:rsid w:val="00D823A5"/>
    <w:rsid w:val="00D82489"/>
    <w:rsid w:val="00D82F80"/>
    <w:rsid w:val="00D83323"/>
    <w:rsid w:val="00D83510"/>
    <w:rsid w:val="00D8381C"/>
    <w:rsid w:val="00D840F0"/>
    <w:rsid w:val="00D856FA"/>
    <w:rsid w:val="00D85865"/>
    <w:rsid w:val="00D85CB4"/>
    <w:rsid w:val="00D864D4"/>
    <w:rsid w:val="00D867BC"/>
    <w:rsid w:val="00D870A7"/>
    <w:rsid w:val="00D8744E"/>
    <w:rsid w:val="00D87796"/>
    <w:rsid w:val="00D877C3"/>
    <w:rsid w:val="00D87DCE"/>
    <w:rsid w:val="00D87E68"/>
    <w:rsid w:val="00D904A9"/>
    <w:rsid w:val="00D905D6"/>
    <w:rsid w:val="00D90703"/>
    <w:rsid w:val="00D90D63"/>
    <w:rsid w:val="00D91B01"/>
    <w:rsid w:val="00D925FE"/>
    <w:rsid w:val="00D9392D"/>
    <w:rsid w:val="00D93D47"/>
    <w:rsid w:val="00D93E40"/>
    <w:rsid w:val="00D943AC"/>
    <w:rsid w:val="00D95359"/>
    <w:rsid w:val="00D957DB"/>
    <w:rsid w:val="00D95DF4"/>
    <w:rsid w:val="00D96049"/>
    <w:rsid w:val="00D9626A"/>
    <w:rsid w:val="00D967AC"/>
    <w:rsid w:val="00D96ABA"/>
    <w:rsid w:val="00D96FA4"/>
    <w:rsid w:val="00D97317"/>
    <w:rsid w:val="00D9797C"/>
    <w:rsid w:val="00DA0059"/>
    <w:rsid w:val="00DA0CF7"/>
    <w:rsid w:val="00DA0F52"/>
    <w:rsid w:val="00DA16E7"/>
    <w:rsid w:val="00DA18F5"/>
    <w:rsid w:val="00DA1E3C"/>
    <w:rsid w:val="00DA2A0D"/>
    <w:rsid w:val="00DA3487"/>
    <w:rsid w:val="00DA3E4B"/>
    <w:rsid w:val="00DA4095"/>
    <w:rsid w:val="00DA4251"/>
    <w:rsid w:val="00DA56FD"/>
    <w:rsid w:val="00DA5E38"/>
    <w:rsid w:val="00DA66D6"/>
    <w:rsid w:val="00DA6E38"/>
    <w:rsid w:val="00DA7854"/>
    <w:rsid w:val="00DB1926"/>
    <w:rsid w:val="00DB352B"/>
    <w:rsid w:val="00DB482B"/>
    <w:rsid w:val="00DB5491"/>
    <w:rsid w:val="00DB659B"/>
    <w:rsid w:val="00DB737C"/>
    <w:rsid w:val="00DC06EC"/>
    <w:rsid w:val="00DC0737"/>
    <w:rsid w:val="00DC1EA5"/>
    <w:rsid w:val="00DC1EAA"/>
    <w:rsid w:val="00DC20D3"/>
    <w:rsid w:val="00DC2C4B"/>
    <w:rsid w:val="00DC2C59"/>
    <w:rsid w:val="00DC3D17"/>
    <w:rsid w:val="00DC51BF"/>
    <w:rsid w:val="00DC5A2C"/>
    <w:rsid w:val="00DC5F38"/>
    <w:rsid w:val="00DC6773"/>
    <w:rsid w:val="00DC7A25"/>
    <w:rsid w:val="00DC7BB5"/>
    <w:rsid w:val="00DC7E11"/>
    <w:rsid w:val="00DD0075"/>
    <w:rsid w:val="00DD094D"/>
    <w:rsid w:val="00DD1454"/>
    <w:rsid w:val="00DD1D91"/>
    <w:rsid w:val="00DD1DFB"/>
    <w:rsid w:val="00DD1FBA"/>
    <w:rsid w:val="00DD2220"/>
    <w:rsid w:val="00DD2D69"/>
    <w:rsid w:val="00DD2F31"/>
    <w:rsid w:val="00DD32F7"/>
    <w:rsid w:val="00DD41D0"/>
    <w:rsid w:val="00DD4C3E"/>
    <w:rsid w:val="00DD5769"/>
    <w:rsid w:val="00DD57AB"/>
    <w:rsid w:val="00DD63D3"/>
    <w:rsid w:val="00DD6ED7"/>
    <w:rsid w:val="00DD765E"/>
    <w:rsid w:val="00DD7E41"/>
    <w:rsid w:val="00DE0632"/>
    <w:rsid w:val="00DE0A54"/>
    <w:rsid w:val="00DE0ACA"/>
    <w:rsid w:val="00DE1441"/>
    <w:rsid w:val="00DE2567"/>
    <w:rsid w:val="00DE368D"/>
    <w:rsid w:val="00DE4189"/>
    <w:rsid w:val="00DE4229"/>
    <w:rsid w:val="00DE5177"/>
    <w:rsid w:val="00DE51D6"/>
    <w:rsid w:val="00DE5246"/>
    <w:rsid w:val="00DE6CD8"/>
    <w:rsid w:val="00DE7877"/>
    <w:rsid w:val="00DF02B2"/>
    <w:rsid w:val="00DF070D"/>
    <w:rsid w:val="00DF0ED9"/>
    <w:rsid w:val="00DF15D7"/>
    <w:rsid w:val="00DF1EB5"/>
    <w:rsid w:val="00DF2109"/>
    <w:rsid w:val="00DF235D"/>
    <w:rsid w:val="00DF2547"/>
    <w:rsid w:val="00DF285B"/>
    <w:rsid w:val="00DF332D"/>
    <w:rsid w:val="00DF37A2"/>
    <w:rsid w:val="00DF37DF"/>
    <w:rsid w:val="00DF3A5B"/>
    <w:rsid w:val="00DF4325"/>
    <w:rsid w:val="00DF59E7"/>
    <w:rsid w:val="00DF5FBF"/>
    <w:rsid w:val="00DF601E"/>
    <w:rsid w:val="00DF65D1"/>
    <w:rsid w:val="00DF6DBE"/>
    <w:rsid w:val="00DF6E44"/>
    <w:rsid w:val="00DF6FA6"/>
    <w:rsid w:val="00DF7F9E"/>
    <w:rsid w:val="00E0072B"/>
    <w:rsid w:val="00E007D0"/>
    <w:rsid w:val="00E00EBC"/>
    <w:rsid w:val="00E013AD"/>
    <w:rsid w:val="00E02749"/>
    <w:rsid w:val="00E027C8"/>
    <w:rsid w:val="00E02C89"/>
    <w:rsid w:val="00E03A50"/>
    <w:rsid w:val="00E03D0C"/>
    <w:rsid w:val="00E04332"/>
    <w:rsid w:val="00E045FD"/>
    <w:rsid w:val="00E049F2"/>
    <w:rsid w:val="00E04E35"/>
    <w:rsid w:val="00E04F06"/>
    <w:rsid w:val="00E0514F"/>
    <w:rsid w:val="00E06096"/>
    <w:rsid w:val="00E064C1"/>
    <w:rsid w:val="00E06C4B"/>
    <w:rsid w:val="00E071E9"/>
    <w:rsid w:val="00E074AD"/>
    <w:rsid w:val="00E07922"/>
    <w:rsid w:val="00E07A77"/>
    <w:rsid w:val="00E10012"/>
    <w:rsid w:val="00E10124"/>
    <w:rsid w:val="00E102E2"/>
    <w:rsid w:val="00E1144E"/>
    <w:rsid w:val="00E116FF"/>
    <w:rsid w:val="00E11F23"/>
    <w:rsid w:val="00E12152"/>
    <w:rsid w:val="00E12ECF"/>
    <w:rsid w:val="00E134A1"/>
    <w:rsid w:val="00E14661"/>
    <w:rsid w:val="00E14D2B"/>
    <w:rsid w:val="00E14E94"/>
    <w:rsid w:val="00E15D4F"/>
    <w:rsid w:val="00E165BA"/>
    <w:rsid w:val="00E166A1"/>
    <w:rsid w:val="00E16E97"/>
    <w:rsid w:val="00E16F06"/>
    <w:rsid w:val="00E1713B"/>
    <w:rsid w:val="00E1730F"/>
    <w:rsid w:val="00E17426"/>
    <w:rsid w:val="00E174A2"/>
    <w:rsid w:val="00E175A4"/>
    <w:rsid w:val="00E2013D"/>
    <w:rsid w:val="00E20427"/>
    <w:rsid w:val="00E20D01"/>
    <w:rsid w:val="00E21210"/>
    <w:rsid w:val="00E21DEC"/>
    <w:rsid w:val="00E22B58"/>
    <w:rsid w:val="00E236EB"/>
    <w:rsid w:val="00E24787"/>
    <w:rsid w:val="00E248E9"/>
    <w:rsid w:val="00E24F9F"/>
    <w:rsid w:val="00E253AE"/>
    <w:rsid w:val="00E257A0"/>
    <w:rsid w:val="00E2595E"/>
    <w:rsid w:val="00E25FD7"/>
    <w:rsid w:val="00E276DE"/>
    <w:rsid w:val="00E27811"/>
    <w:rsid w:val="00E27D39"/>
    <w:rsid w:val="00E302C7"/>
    <w:rsid w:val="00E303F5"/>
    <w:rsid w:val="00E30C08"/>
    <w:rsid w:val="00E32FFB"/>
    <w:rsid w:val="00E33AD9"/>
    <w:rsid w:val="00E33DF2"/>
    <w:rsid w:val="00E3413A"/>
    <w:rsid w:val="00E35644"/>
    <w:rsid w:val="00E359B8"/>
    <w:rsid w:val="00E3614E"/>
    <w:rsid w:val="00E36C2E"/>
    <w:rsid w:val="00E37179"/>
    <w:rsid w:val="00E37ABB"/>
    <w:rsid w:val="00E40233"/>
    <w:rsid w:val="00E40888"/>
    <w:rsid w:val="00E40B71"/>
    <w:rsid w:val="00E40EA6"/>
    <w:rsid w:val="00E419E2"/>
    <w:rsid w:val="00E42530"/>
    <w:rsid w:val="00E42E12"/>
    <w:rsid w:val="00E431A0"/>
    <w:rsid w:val="00E43248"/>
    <w:rsid w:val="00E44083"/>
    <w:rsid w:val="00E44409"/>
    <w:rsid w:val="00E44B16"/>
    <w:rsid w:val="00E44C59"/>
    <w:rsid w:val="00E45AB9"/>
    <w:rsid w:val="00E45C5E"/>
    <w:rsid w:val="00E4633E"/>
    <w:rsid w:val="00E477A2"/>
    <w:rsid w:val="00E508DC"/>
    <w:rsid w:val="00E510E2"/>
    <w:rsid w:val="00E512BE"/>
    <w:rsid w:val="00E5179E"/>
    <w:rsid w:val="00E51D27"/>
    <w:rsid w:val="00E5379F"/>
    <w:rsid w:val="00E542B1"/>
    <w:rsid w:val="00E543E4"/>
    <w:rsid w:val="00E54A13"/>
    <w:rsid w:val="00E551C5"/>
    <w:rsid w:val="00E55712"/>
    <w:rsid w:val="00E55B17"/>
    <w:rsid w:val="00E55B3F"/>
    <w:rsid w:val="00E561B5"/>
    <w:rsid w:val="00E56D9D"/>
    <w:rsid w:val="00E56E20"/>
    <w:rsid w:val="00E573DB"/>
    <w:rsid w:val="00E57463"/>
    <w:rsid w:val="00E57624"/>
    <w:rsid w:val="00E57928"/>
    <w:rsid w:val="00E60377"/>
    <w:rsid w:val="00E606CD"/>
    <w:rsid w:val="00E619D8"/>
    <w:rsid w:val="00E61DEE"/>
    <w:rsid w:val="00E61E13"/>
    <w:rsid w:val="00E63729"/>
    <w:rsid w:val="00E63BAB"/>
    <w:rsid w:val="00E654CB"/>
    <w:rsid w:val="00E6590B"/>
    <w:rsid w:val="00E65CCA"/>
    <w:rsid w:val="00E65FFB"/>
    <w:rsid w:val="00E66ADC"/>
    <w:rsid w:val="00E677B3"/>
    <w:rsid w:val="00E6783A"/>
    <w:rsid w:val="00E678A0"/>
    <w:rsid w:val="00E67F4F"/>
    <w:rsid w:val="00E701F3"/>
    <w:rsid w:val="00E70766"/>
    <w:rsid w:val="00E707A2"/>
    <w:rsid w:val="00E71AA6"/>
    <w:rsid w:val="00E72AFF"/>
    <w:rsid w:val="00E73278"/>
    <w:rsid w:val="00E73C85"/>
    <w:rsid w:val="00E73CFB"/>
    <w:rsid w:val="00E73D74"/>
    <w:rsid w:val="00E748F5"/>
    <w:rsid w:val="00E75C6B"/>
    <w:rsid w:val="00E75F35"/>
    <w:rsid w:val="00E76CF6"/>
    <w:rsid w:val="00E77463"/>
    <w:rsid w:val="00E806FD"/>
    <w:rsid w:val="00E808C1"/>
    <w:rsid w:val="00E809EB"/>
    <w:rsid w:val="00E80C89"/>
    <w:rsid w:val="00E81BBC"/>
    <w:rsid w:val="00E81CBB"/>
    <w:rsid w:val="00E81FF9"/>
    <w:rsid w:val="00E83A85"/>
    <w:rsid w:val="00E83D7A"/>
    <w:rsid w:val="00E83E54"/>
    <w:rsid w:val="00E840DB"/>
    <w:rsid w:val="00E8445D"/>
    <w:rsid w:val="00E8496A"/>
    <w:rsid w:val="00E84B0B"/>
    <w:rsid w:val="00E855D3"/>
    <w:rsid w:val="00E85999"/>
    <w:rsid w:val="00E863D1"/>
    <w:rsid w:val="00E865E1"/>
    <w:rsid w:val="00E86F3A"/>
    <w:rsid w:val="00E874B9"/>
    <w:rsid w:val="00E8772C"/>
    <w:rsid w:val="00E87F0B"/>
    <w:rsid w:val="00E90433"/>
    <w:rsid w:val="00E907BE"/>
    <w:rsid w:val="00E9118B"/>
    <w:rsid w:val="00E91D0F"/>
    <w:rsid w:val="00E92110"/>
    <w:rsid w:val="00E9226D"/>
    <w:rsid w:val="00E9227A"/>
    <w:rsid w:val="00E939AC"/>
    <w:rsid w:val="00E93E7F"/>
    <w:rsid w:val="00E94272"/>
    <w:rsid w:val="00E942CC"/>
    <w:rsid w:val="00E94A4A"/>
    <w:rsid w:val="00E94CC2"/>
    <w:rsid w:val="00E95955"/>
    <w:rsid w:val="00E95B57"/>
    <w:rsid w:val="00E95EAE"/>
    <w:rsid w:val="00E961F5"/>
    <w:rsid w:val="00E96334"/>
    <w:rsid w:val="00E96D07"/>
    <w:rsid w:val="00E97A62"/>
    <w:rsid w:val="00E97BC4"/>
    <w:rsid w:val="00E97FC2"/>
    <w:rsid w:val="00EA03D7"/>
    <w:rsid w:val="00EA0830"/>
    <w:rsid w:val="00EA0876"/>
    <w:rsid w:val="00EA0922"/>
    <w:rsid w:val="00EA0B11"/>
    <w:rsid w:val="00EA1D1C"/>
    <w:rsid w:val="00EA2586"/>
    <w:rsid w:val="00EA260A"/>
    <w:rsid w:val="00EA28BA"/>
    <w:rsid w:val="00EA3B09"/>
    <w:rsid w:val="00EA3DDB"/>
    <w:rsid w:val="00EA45CF"/>
    <w:rsid w:val="00EA4A97"/>
    <w:rsid w:val="00EA509D"/>
    <w:rsid w:val="00EA569A"/>
    <w:rsid w:val="00EA5740"/>
    <w:rsid w:val="00EA5A38"/>
    <w:rsid w:val="00EA6C96"/>
    <w:rsid w:val="00EA6E9E"/>
    <w:rsid w:val="00EA72D1"/>
    <w:rsid w:val="00EA72E7"/>
    <w:rsid w:val="00EA76BC"/>
    <w:rsid w:val="00EA7B1D"/>
    <w:rsid w:val="00EA7D36"/>
    <w:rsid w:val="00EB0C03"/>
    <w:rsid w:val="00EB0D69"/>
    <w:rsid w:val="00EB0F86"/>
    <w:rsid w:val="00EB1579"/>
    <w:rsid w:val="00EB19EC"/>
    <w:rsid w:val="00EB3685"/>
    <w:rsid w:val="00EB3D37"/>
    <w:rsid w:val="00EB3DC9"/>
    <w:rsid w:val="00EB4E90"/>
    <w:rsid w:val="00EB56B4"/>
    <w:rsid w:val="00EB5A8B"/>
    <w:rsid w:val="00EB65E1"/>
    <w:rsid w:val="00EB695B"/>
    <w:rsid w:val="00EB7381"/>
    <w:rsid w:val="00EC0371"/>
    <w:rsid w:val="00EC05C3"/>
    <w:rsid w:val="00EC063F"/>
    <w:rsid w:val="00EC15B2"/>
    <w:rsid w:val="00EC17F2"/>
    <w:rsid w:val="00EC19D5"/>
    <w:rsid w:val="00EC1B79"/>
    <w:rsid w:val="00EC1D2F"/>
    <w:rsid w:val="00EC215D"/>
    <w:rsid w:val="00EC2B63"/>
    <w:rsid w:val="00EC34BF"/>
    <w:rsid w:val="00EC37A2"/>
    <w:rsid w:val="00EC5A29"/>
    <w:rsid w:val="00EC60FC"/>
    <w:rsid w:val="00EC6637"/>
    <w:rsid w:val="00EC6A19"/>
    <w:rsid w:val="00EC6F78"/>
    <w:rsid w:val="00EC7128"/>
    <w:rsid w:val="00EC75C0"/>
    <w:rsid w:val="00EC7D6C"/>
    <w:rsid w:val="00ED0046"/>
    <w:rsid w:val="00ED0321"/>
    <w:rsid w:val="00ED0AF3"/>
    <w:rsid w:val="00ED12B6"/>
    <w:rsid w:val="00ED150A"/>
    <w:rsid w:val="00ED1746"/>
    <w:rsid w:val="00ED1BEC"/>
    <w:rsid w:val="00ED33D1"/>
    <w:rsid w:val="00ED3B06"/>
    <w:rsid w:val="00ED4105"/>
    <w:rsid w:val="00ED442E"/>
    <w:rsid w:val="00ED484C"/>
    <w:rsid w:val="00ED539E"/>
    <w:rsid w:val="00ED55CE"/>
    <w:rsid w:val="00ED6550"/>
    <w:rsid w:val="00ED6F83"/>
    <w:rsid w:val="00ED6FEC"/>
    <w:rsid w:val="00ED7B8D"/>
    <w:rsid w:val="00EE0424"/>
    <w:rsid w:val="00EE0443"/>
    <w:rsid w:val="00EE1117"/>
    <w:rsid w:val="00EE11DA"/>
    <w:rsid w:val="00EE1DF4"/>
    <w:rsid w:val="00EE2125"/>
    <w:rsid w:val="00EE22E3"/>
    <w:rsid w:val="00EE274C"/>
    <w:rsid w:val="00EE2927"/>
    <w:rsid w:val="00EE2CBF"/>
    <w:rsid w:val="00EE390B"/>
    <w:rsid w:val="00EE42C4"/>
    <w:rsid w:val="00EE5611"/>
    <w:rsid w:val="00EE5720"/>
    <w:rsid w:val="00EE59DE"/>
    <w:rsid w:val="00EE67AB"/>
    <w:rsid w:val="00EF01A1"/>
    <w:rsid w:val="00EF0473"/>
    <w:rsid w:val="00EF185A"/>
    <w:rsid w:val="00EF2A0B"/>
    <w:rsid w:val="00EF2EA0"/>
    <w:rsid w:val="00EF2EBF"/>
    <w:rsid w:val="00EF2F55"/>
    <w:rsid w:val="00EF327F"/>
    <w:rsid w:val="00EF38AE"/>
    <w:rsid w:val="00EF47E2"/>
    <w:rsid w:val="00EF4DD8"/>
    <w:rsid w:val="00EF500F"/>
    <w:rsid w:val="00EF51F6"/>
    <w:rsid w:val="00EF5301"/>
    <w:rsid w:val="00EF5620"/>
    <w:rsid w:val="00EF5C37"/>
    <w:rsid w:val="00EF5E5E"/>
    <w:rsid w:val="00EF62D2"/>
    <w:rsid w:val="00EF639E"/>
    <w:rsid w:val="00EF7240"/>
    <w:rsid w:val="00F00BEB"/>
    <w:rsid w:val="00F00F4C"/>
    <w:rsid w:val="00F011FC"/>
    <w:rsid w:val="00F01ABF"/>
    <w:rsid w:val="00F02165"/>
    <w:rsid w:val="00F03360"/>
    <w:rsid w:val="00F03847"/>
    <w:rsid w:val="00F04228"/>
    <w:rsid w:val="00F044FF"/>
    <w:rsid w:val="00F045B4"/>
    <w:rsid w:val="00F048A2"/>
    <w:rsid w:val="00F04B02"/>
    <w:rsid w:val="00F10AB9"/>
    <w:rsid w:val="00F11313"/>
    <w:rsid w:val="00F1181A"/>
    <w:rsid w:val="00F11FD9"/>
    <w:rsid w:val="00F1291C"/>
    <w:rsid w:val="00F1378C"/>
    <w:rsid w:val="00F13BAA"/>
    <w:rsid w:val="00F13DD0"/>
    <w:rsid w:val="00F14F18"/>
    <w:rsid w:val="00F151CC"/>
    <w:rsid w:val="00F151E3"/>
    <w:rsid w:val="00F15518"/>
    <w:rsid w:val="00F15A8D"/>
    <w:rsid w:val="00F16066"/>
    <w:rsid w:val="00F16146"/>
    <w:rsid w:val="00F16C8E"/>
    <w:rsid w:val="00F1733C"/>
    <w:rsid w:val="00F17C2E"/>
    <w:rsid w:val="00F2014E"/>
    <w:rsid w:val="00F2045A"/>
    <w:rsid w:val="00F2193C"/>
    <w:rsid w:val="00F223CF"/>
    <w:rsid w:val="00F22A15"/>
    <w:rsid w:val="00F23800"/>
    <w:rsid w:val="00F23F50"/>
    <w:rsid w:val="00F240AD"/>
    <w:rsid w:val="00F246DD"/>
    <w:rsid w:val="00F24F11"/>
    <w:rsid w:val="00F253F5"/>
    <w:rsid w:val="00F2554E"/>
    <w:rsid w:val="00F25A7F"/>
    <w:rsid w:val="00F2658F"/>
    <w:rsid w:val="00F267BA"/>
    <w:rsid w:val="00F26963"/>
    <w:rsid w:val="00F2790F"/>
    <w:rsid w:val="00F30227"/>
    <w:rsid w:val="00F30BD3"/>
    <w:rsid w:val="00F31283"/>
    <w:rsid w:val="00F314EF"/>
    <w:rsid w:val="00F31955"/>
    <w:rsid w:val="00F31CCA"/>
    <w:rsid w:val="00F3216A"/>
    <w:rsid w:val="00F325F9"/>
    <w:rsid w:val="00F327BB"/>
    <w:rsid w:val="00F32F13"/>
    <w:rsid w:val="00F33329"/>
    <w:rsid w:val="00F33385"/>
    <w:rsid w:val="00F340E5"/>
    <w:rsid w:val="00F34F0D"/>
    <w:rsid w:val="00F3699F"/>
    <w:rsid w:val="00F377AA"/>
    <w:rsid w:val="00F37AB8"/>
    <w:rsid w:val="00F40BC8"/>
    <w:rsid w:val="00F40C54"/>
    <w:rsid w:val="00F40C6C"/>
    <w:rsid w:val="00F40DFC"/>
    <w:rsid w:val="00F40E11"/>
    <w:rsid w:val="00F40FCF"/>
    <w:rsid w:val="00F41014"/>
    <w:rsid w:val="00F41158"/>
    <w:rsid w:val="00F413C9"/>
    <w:rsid w:val="00F42D67"/>
    <w:rsid w:val="00F43480"/>
    <w:rsid w:val="00F43F13"/>
    <w:rsid w:val="00F445FA"/>
    <w:rsid w:val="00F44A23"/>
    <w:rsid w:val="00F44A6C"/>
    <w:rsid w:val="00F454E6"/>
    <w:rsid w:val="00F46093"/>
    <w:rsid w:val="00F460A3"/>
    <w:rsid w:val="00F46A42"/>
    <w:rsid w:val="00F46DF1"/>
    <w:rsid w:val="00F46FD2"/>
    <w:rsid w:val="00F47536"/>
    <w:rsid w:val="00F50248"/>
    <w:rsid w:val="00F50953"/>
    <w:rsid w:val="00F52375"/>
    <w:rsid w:val="00F525D1"/>
    <w:rsid w:val="00F5358E"/>
    <w:rsid w:val="00F53996"/>
    <w:rsid w:val="00F53C92"/>
    <w:rsid w:val="00F54CF3"/>
    <w:rsid w:val="00F54D32"/>
    <w:rsid w:val="00F55D7A"/>
    <w:rsid w:val="00F55FDD"/>
    <w:rsid w:val="00F5644C"/>
    <w:rsid w:val="00F56F02"/>
    <w:rsid w:val="00F57984"/>
    <w:rsid w:val="00F60485"/>
    <w:rsid w:val="00F606FC"/>
    <w:rsid w:val="00F60E9B"/>
    <w:rsid w:val="00F611A9"/>
    <w:rsid w:val="00F6269F"/>
    <w:rsid w:val="00F6331E"/>
    <w:rsid w:val="00F6417F"/>
    <w:rsid w:val="00F64CEC"/>
    <w:rsid w:val="00F64E5F"/>
    <w:rsid w:val="00F64FBC"/>
    <w:rsid w:val="00F65080"/>
    <w:rsid w:val="00F65191"/>
    <w:rsid w:val="00F6609F"/>
    <w:rsid w:val="00F66419"/>
    <w:rsid w:val="00F66449"/>
    <w:rsid w:val="00F66560"/>
    <w:rsid w:val="00F6663F"/>
    <w:rsid w:val="00F66666"/>
    <w:rsid w:val="00F66750"/>
    <w:rsid w:val="00F66AAD"/>
    <w:rsid w:val="00F66C0B"/>
    <w:rsid w:val="00F6728A"/>
    <w:rsid w:val="00F672C8"/>
    <w:rsid w:val="00F67898"/>
    <w:rsid w:val="00F67AFD"/>
    <w:rsid w:val="00F70490"/>
    <w:rsid w:val="00F714E0"/>
    <w:rsid w:val="00F7178D"/>
    <w:rsid w:val="00F72987"/>
    <w:rsid w:val="00F729BD"/>
    <w:rsid w:val="00F729E8"/>
    <w:rsid w:val="00F72A20"/>
    <w:rsid w:val="00F72C5E"/>
    <w:rsid w:val="00F74592"/>
    <w:rsid w:val="00F7504D"/>
    <w:rsid w:val="00F75FFA"/>
    <w:rsid w:val="00F761DF"/>
    <w:rsid w:val="00F77034"/>
    <w:rsid w:val="00F774D4"/>
    <w:rsid w:val="00F77A25"/>
    <w:rsid w:val="00F77D3C"/>
    <w:rsid w:val="00F800C2"/>
    <w:rsid w:val="00F8048F"/>
    <w:rsid w:val="00F80922"/>
    <w:rsid w:val="00F809E4"/>
    <w:rsid w:val="00F81035"/>
    <w:rsid w:val="00F817D9"/>
    <w:rsid w:val="00F82231"/>
    <w:rsid w:val="00F8227B"/>
    <w:rsid w:val="00F82360"/>
    <w:rsid w:val="00F8393B"/>
    <w:rsid w:val="00F83C53"/>
    <w:rsid w:val="00F842C6"/>
    <w:rsid w:val="00F851AA"/>
    <w:rsid w:val="00F85451"/>
    <w:rsid w:val="00F864B4"/>
    <w:rsid w:val="00F86B31"/>
    <w:rsid w:val="00F86D37"/>
    <w:rsid w:val="00F87981"/>
    <w:rsid w:val="00F90118"/>
    <w:rsid w:val="00F91259"/>
    <w:rsid w:val="00F915DC"/>
    <w:rsid w:val="00F91F1A"/>
    <w:rsid w:val="00F92352"/>
    <w:rsid w:val="00F92DE2"/>
    <w:rsid w:val="00F92E8A"/>
    <w:rsid w:val="00F92F42"/>
    <w:rsid w:val="00F945E6"/>
    <w:rsid w:val="00F94733"/>
    <w:rsid w:val="00F94D82"/>
    <w:rsid w:val="00F95A30"/>
    <w:rsid w:val="00F963E9"/>
    <w:rsid w:val="00F967F4"/>
    <w:rsid w:val="00F968C2"/>
    <w:rsid w:val="00F968E5"/>
    <w:rsid w:val="00F96F8F"/>
    <w:rsid w:val="00F970F6"/>
    <w:rsid w:val="00FA0102"/>
    <w:rsid w:val="00FA0942"/>
    <w:rsid w:val="00FA160C"/>
    <w:rsid w:val="00FA1AED"/>
    <w:rsid w:val="00FA1D41"/>
    <w:rsid w:val="00FA2690"/>
    <w:rsid w:val="00FA4729"/>
    <w:rsid w:val="00FA5608"/>
    <w:rsid w:val="00FA5921"/>
    <w:rsid w:val="00FA5BD6"/>
    <w:rsid w:val="00FA620F"/>
    <w:rsid w:val="00FA7242"/>
    <w:rsid w:val="00FA7C50"/>
    <w:rsid w:val="00FB0D3D"/>
    <w:rsid w:val="00FB1029"/>
    <w:rsid w:val="00FB13CE"/>
    <w:rsid w:val="00FB1401"/>
    <w:rsid w:val="00FB1957"/>
    <w:rsid w:val="00FB1A1B"/>
    <w:rsid w:val="00FB1F98"/>
    <w:rsid w:val="00FB2544"/>
    <w:rsid w:val="00FB2749"/>
    <w:rsid w:val="00FB28BE"/>
    <w:rsid w:val="00FB2C4F"/>
    <w:rsid w:val="00FB2C88"/>
    <w:rsid w:val="00FB32B1"/>
    <w:rsid w:val="00FB3AD6"/>
    <w:rsid w:val="00FB3FBD"/>
    <w:rsid w:val="00FB464E"/>
    <w:rsid w:val="00FB4A30"/>
    <w:rsid w:val="00FB5794"/>
    <w:rsid w:val="00FB5DD5"/>
    <w:rsid w:val="00FB624E"/>
    <w:rsid w:val="00FB6AF5"/>
    <w:rsid w:val="00FB6BFC"/>
    <w:rsid w:val="00FB70DE"/>
    <w:rsid w:val="00FB73A9"/>
    <w:rsid w:val="00FB7759"/>
    <w:rsid w:val="00FB7D70"/>
    <w:rsid w:val="00FC031A"/>
    <w:rsid w:val="00FC0701"/>
    <w:rsid w:val="00FC10CD"/>
    <w:rsid w:val="00FC1229"/>
    <w:rsid w:val="00FC1508"/>
    <w:rsid w:val="00FC2881"/>
    <w:rsid w:val="00FC345D"/>
    <w:rsid w:val="00FC3A6D"/>
    <w:rsid w:val="00FC43EE"/>
    <w:rsid w:val="00FC4422"/>
    <w:rsid w:val="00FC48C5"/>
    <w:rsid w:val="00FC4CB1"/>
    <w:rsid w:val="00FC4DA2"/>
    <w:rsid w:val="00FC5637"/>
    <w:rsid w:val="00FC627B"/>
    <w:rsid w:val="00FC62E4"/>
    <w:rsid w:val="00FC70C3"/>
    <w:rsid w:val="00FC719C"/>
    <w:rsid w:val="00FC7288"/>
    <w:rsid w:val="00FC7342"/>
    <w:rsid w:val="00FC7350"/>
    <w:rsid w:val="00FC740F"/>
    <w:rsid w:val="00FC765E"/>
    <w:rsid w:val="00FC7E59"/>
    <w:rsid w:val="00FD007E"/>
    <w:rsid w:val="00FD085A"/>
    <w:rsid w:val="00FD1315"/>
    <w:rsid w:val="00FD1458"/>
    <w:rsid w:val="00FD1AB4"/>
    <w:rsid w:val="00FD23B8"/>
    <w:rsid w:val="00FD4BF6"/>
    <w:rsid w:val="00FD4F27"/>
    <w:rsid w:val="00FD4F39"/>
    <w:rsid w:val="00FD5298"/>
    <w:rsid w:val="00FD54AB"/>
    <w:rsid w:val="00FD5A55"/>
    <w:rsid w:val="00FD5D9D"/>
    <w:rsid w:val="00FD5F7F"/>
    <w:rsid w:val="00FD660B"/>
    <w:rsid w:val="00FD6BA8"/>
    <w:rsid w:val="00FD73D6"/>
    <w:rsid w:val="00FD73F2"/>
    <w:rsid w:val="00FD7A5C"/>
    <w:rsid w:val="00FE08BE"/>
    <w:rsid w:val="00FE0FFB"/>
    <w:rsid w:val="00FE111A"/>
    <w:rsid w:val="00FE1ABB"/>
    <w:rsid w:val="00FE1B7D"/>
    <w:rsid w:val="00FE2142"/>
    <w:rsid w:val="00FE2B2E"/>
    <w:rsid w:val="00FE3854"/>
    <w:rsid w:val="00FE3FF8"/>
    <w:rsid w:val="00FE436D"/>
    <w:rsid w:val="00FE4B5B"/>
    <w:rsid w:val="00FE53CE"/>
    <w:rsid w:val="00FE550D"/>
    <w:rsid w:val="00FE67E1"/>
    <w:rsid w:val="00FE67FE"/>
    <w:rsid w:val="00FE6B2B"/>
    <w:rsid w:val="00FE6D7C"/>
    <w:rsid w:val="00FE7616"/>
    <w:rsid w:val="00FE7624"/>
    <w:rsid w:val="00FE77BF"/>
    <w:rsid w:val="00FE780E"/>
    <w:rsid w:val="00FF016F"/>
    <w:rsid w:val="00FF0AD9"/>
    <w:rsid w:val="00FF11E8"/>
    <w:rsid w:val="00FF2D7C"/>
    <w:rsid w:val="00FF32A4"/>
    <w:rsid w:val="00FF4171"/>
    <w:rsid w:val="00FF54FE"/>
    <w:rsid w:val="00FF6687"/>
    <w:rsid w:val="00FF6909"/>
    <w:rsid w:val="00FF70CD"/>
    <w:rsid w:val="00FF7150"/>
    <w:rsid w:val="00FF7233"/>
    <w:rsid w:val="00FF7482"/>
    <w:rsid w:val="00FF787B"/>
    <w:rsid w:val="00FF7A4B"/>
    <w:rsid w:val="00FF7F43"/>
    <w:rsid w:val="0176514A"/>
    <w:rsid w:val="01A6096A"/>
    <w:rsid w:val="02CA3F04"/>
    <w:rsid w:val="07F2295F"/>
    <w:rsid w:val="09620B99"/>
    <w:rsid w:val="0E6E17AB"/>
    <w:rsid w:val="10EC1BF7"/>
    <w:rsid w:val="11A86EA6"/>
    <w:rsid w:val="14735F55"/>
    <w:rsid w:val="14A94170"/>
    <w:rsid w:val="150E712B"/>
    <w:rsid w:val="18DE5F6F"/>
    <w:rsid w:val="24CC5F1F"/>
    <w:rsid w:val="27EF550F"/>
    <w:rsid w:val="297713A9"/>
    <w:rsid w:val="299F1D5E"/>
    <w:rsid w:val="2CE045CE"/>
    <w:rsid w:val="30957B2D"/>
    <w:rsid w:val="36090D84"/>
    <w:rsid w:val="37DA2850"/>
    <w:rsid w:val="38C84534"/>
    <w:rsid w:val="3D023FC4"/>
    <w:rsid w:val="3E205448"/>
    <w:rsid w:val="3F291AEB"/>
    <w:rsid w:val="4181508D"/>
    <w:rsid w:val="442F4ECD"/>
    <w:rsid w:val="456237AC"/>
    <w:rsid w:val="46275776"/>
    <w:rsid w:val="538B066D"/>
    <w:rsid w:val="54A464DA"/>
    <w:rsid w:val="56832C83"/>
    <w:rsid w:val="585C210E"/>
    <w:rsid w:val="5BD9343C"/>
    <w:rsid w:val="5DCC1095"/>
    <w:rsid w:val="5E7D3EC1"/>
    <w:rsid w:val="621F17A9"/>
    <w:rsid w:val="62202DF8"/>
    <w:rsid w:val="622F0764"/>
    <w:rsid w:val="63594F94"/>
    <w:rsid w:val="69AD4345"/>
    <w:rsid w:val="6B3E328C"/>
    <w:rsid w:val="6D9B3A73"/>
    <w:rsid w:val="6EAD50B8"/>
    <w:rsid w:val="74A64153"/>
    <w:rsid w:val="7A487717"/>
    <w:rsid w:val="7BD50CB6"/>
    <w:rsid w:val="7D547C3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6"/>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7"/>
    <w:qFormat/>
    <w:uiPriority w:val="0"/>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unhideWhenUsed/>
    <w:uiPriority w:val="1"/>
  </w:style>
  <w:style w:type="table" w:default="1" w:styleId="31">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snapToGrid w:val="0"/>
      <w:spacing w:line="300" w:lineRule="auto"/>
      <w:ind w:firstLine="556"/>
    </w:pPr>
    <w:rPr>
      <w:rFonts w:ascii="仿宋_GB2312" w:hAnsi="仿宋_GB2312" w:eastAsia="仿宋_GB2312"/>
      <w:kern w:val="0"/>
      <w:sz w:val="32"/>
      <w:szCs w:val="20"/>
    </w:rPr>
  </w:style>
  <w:style w:type="paragraph" w:styleId="7">
    <w:name w:val="annotation subject"/>
    <w:basedOn w:val="8"/>
    <w:next w:val="8"/>
    <w:link w:val="57"/>
    <w:unhideWhenUsed/>
    <w:qFormat/>
    <w:uiPriority w:val="99"/>
    <w:rPr>
      <w:b/>
      <w:bCs/>
    </w:rPr>
  </w:style>
  <w:style w:type="paragraph" w:styleId="8">
    <w:name w:val="annotation text"/>
    <w:basedOn w:val="1"/>
    <w:link w:val="56"/>
    <w:unhideWhenUsed/>
    <w:qFormat/>
    <w:uiPriority w:val="99"/>
    <w:pPr>
      <w:jc w:val="left"/>
    </w:pPr>
  </w:style>
  <w:style w:type="paragraph" w:styleId="9">
    <w:name w:val="Body Text First Indent"/>
    <w:basedOn w:val="10"/>
    <w:next w:val="11"/>
    <w:link w:val="55"/>
    <w:unhideWhenUsed/>
    <w:qFormat/>
    <w:uiPriority w:val="99"/>
    <w:pPr>
      <w:ind w:firstLine="420" w:firstLineChars="100"/>
    </w:pPr>
  </w:style>
  <w:style w:type="paragraph" w:styleId="10">
    <w:name w:val="Body Text"/>
    <w:basedOn w:val="1"/>
    <w:link w:val="54"/>
    <w:unhideWhenUsed/>
    <w:qFormat/>
    <w:uiPriority w:val="99"/>
    <w:pPr>
      <w:spacing w:after="120"/>
    </w:pPr>
  </w:style>
  <w:style w:type="paragraph" w:styleId="11">
    <w:name w:val="Body Text First Indent 2"/>
    <w:basedOn w:val="9"/>
    <w:next w:val="9"/>
    <w:unhideWhenUsed/>
    <w:qFormat/>
    <w:uiPriority w:val="99"/>
    <w:pPr>
      <w:ind w:firstLine="200" w:firstLineChars="200"/>
    </w:pPr>
  </w:style>
  <w:style w:type="paragraph" w:styleId="12">
    <w:name w:val="Document Map"/>
    <w:basedOn w:val="1"/>
    <w:link w:val="40"/>
    <w:unhideWhenUsed/>
    <w:qFormat/>
    <w:uiPriority w:val="99"/>
    <w:rPr>
      <w:rFonts w:ascii="宋体"/>
      <w:sz w:val="18"/>
      <w:szCs w:val="18"/>
    </w:rPr>
  </w:style>
  <w:style w:type="paragraph" w:styleId="13">
    <w:name w:val="toc 3"/>
    <w:basedOn w:val="1"/>
    <w:next w:val="1"/>
    <w:unhideWhenUsed/>
    <w:qFormat/>
    <w:uiPriority w:val="39"/>
    <w:pPr>
      <w:ind w:left="840" w:leftChars="400"/>
    </w:pPr>
  </w:style>
  <w:style w:type="paragraph" w:styleId="14">
    <w:name w:val="Date"/>
    <w:basedOn w:val="1"/>
    <w:next w:val="1"/>
    <w:link w:val="35"/>
    <w:unhideWhenUsed/>
    <w:qFormat/>
    <w:uiPriority w:val="99"/>
    <w:pPr>
      <w:ind w:left="100" w:leftChars="2500"/>
    </w:pPr>
  </w:style>
  <w:style w:type="paragraph" w:styleId="15">
    <w:name w:val="Body Text Indent 2"/>
    <w:basedOn w:val="1"/>
    <w:link w:val="41"/>
    <w:qFormat/>
    <w:uiPriority w:val="0"/>
    <w:pPr>
      <w:ind w:firstLine="602" w:firstLineChars="200"/>
    </w:pPr>
    <w:rPr>
      <w:rFonts w:ascii="仿宋_GB2312" w:hAnsi="Times New Roman" w:eastAsia="仿宋_GB2312"/>
      <w:b/>
      <w:bCs/>
      <w:sz w:val="30"/>
      <w:szCs w:val="28"/>
    </w:rPr>
  </w:style>
  <w:style w:type="paragraph" w:styleId="16">
    <w:name w:val="Balloon Text"/>
    <w:basedOn w:val="1"/>
    <w:link w:val="39"/>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footnote text"/>
    <w:basedOn w:val="1"/>
    <w:link w:val="44"/>
    <w:semiHidden/>
    <w:qFormat/>
    <w:uiPriority w:val="0"/>
    <w:pPr>
      <w:snapToGrid w:val="0"/>
      <w:jc w:val="left"/>
    </w:pPr>
    <w:rPr>
      <w:rFonts w:ascii="Times New Roman" w:hAnsi="Times New Roman"/>
      <w:sz w:val="18"/>
      <w:szCs w:val="18"/>
    </w:rPr>
  </w:style>
  <w:style w:type="paragraph" w:styleId="21">
    <w:name w:val="toc 2"/>
    <w:basedOn w:val="1"/>
    <w:next w:val="1"/>
    <w:unhideWhenUsed/>
    <w:qFormat/>
    <w:uiPriority w:val="39"/>
    <w:pPr>
      <w:ind w:left="420" w:leftChars="200"/>
    </w:pPr>
  </w:style>
  <w:style w:type="paragraph" w:styleId="22">
    <w:name w:val="HTML Preformatted"/>
    <w:basedOn w:val="1"/>
    <w:link w:val="4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themeColor="hyperlink"/>
      <w:u w:val="single"/>
      <w14:textFill>
        <w14:solidFill>
          <w14:schemeClr w14:val="hlink"/>
        </w14:solidFill>
      </w14:textFill>
    </w:rPr>
  </w:style>
  <w:style w:type="character" w:styleId="29">
    <w:name w:val="annotation reference"/>
    <w:basedOn w:val="24"/>
    <w:unhideWhenUsed/>
    <w:qFormat/>
    <w:uiPriority w:val="99"/>
    <w:rPr>
      <w:sz w:val="21"/>
      <w:szCs w:val="21"/>
    </w:rPr>
  </w:style>
  <w:style w:type="character" w:styleId="30">
    <w:name w:val="footnote reference"/>
    <w:basedOn w:val="24"/>
    <w:semiHidden/>
    <w:qFormat/>
    <w:uiPriority w:val="0"/>
    <w:rPr>
      <w:vertAlign w:val="superscript"/>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页眉 字符"/>
    <w:basedOn w:val="24"/>
    <w:link w:val="18"/>
    <w:qFormat/>
    <w:uiPriority w:val="99"/>
    <w:rPr>
      <w:kern w:val="2"/>
      <w:sz w:val="18"/>
      <w:szCs w:val="18"/>
    </w:rPr>
  </w:style>
  <w:style w:type="character" w:customStyle="1" w:styleId="34">
    <w:name w:val="页脚 字符"/>
    <w:basedOn w:val="24"/>
    <w:link w:val="17"/>
    <w:qFormat/>
    <w:uiPriority w:val="99"/>
    <w:rPr>
      <w:kern w:val="2"/>
      <w:sz w:val="18"/>
      <w:szCs w:val="18"/>
    </w:rPr>
  </w:style>
  <w:style w:type="character" w:customStyle="1" w:styleId="35">
    <w:name w:val="日期 字符"/>
    <w:basedOn w:val="24"/>
    <w:link w:val="14"/>
    <w:semiHidden/>
    <w:qFormat/>
    <w:uiPriority w:val="99"/>
    <w:rPr>
      <w:kern w:val="2"/>
      <w:sz w:val="21"/>
      <w:szCs w:val="22"/>
    </w:rPr>
  </w:style>
  <w:style w:type="character" w:customStyle="1" w:styleId="36">
    <w:name w:val="标题 1 字符"/>
    <w:basedOn w:val="24"/>
    <w:link w:val="3"/>
    <w:qFormat/>
    <w:uiPriority w:val="0"/>
    <w:rPr>
      <w:rFonts w:ascii="Times New Roman" w:hAnsi="Times New Roman"/>
      <w:b/>
      <w:bCs/>
      <w:kern w:val="44"/>
      <w:sz w:val="44"/>
      <w:szCs w:val="44"/>
    </w:rPr>
  </w:style>
  <w:style w:type="character" w:customStyle="1" w:styleId="37">
    <w:name w:val="标题 2 字符"/>
    <w:basedOn w:val="24"/>
    <w:link w:val="4"/>
    <w:qFormat/>
    <w:uiPriority w:val="0"/>
    <w:rPr>
      <w:rFonts w:ascii="Cambria" w:hAnsi="Cambria" w:cs="黑体"/>
      <w:b/>
      <w:bCs/>
      <w:kern w:val="2"/>
      <w:sz w:val="32"/>
      <w:szCs w:val="32"/>
    </w:rPr>
  </w:style>
  <w:style w:type="paragraph" w:customStyle="1" w:styleId="3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框文本 字符"/>
    <w:basedOn w:val="24"/>
    <w:link w:val="16"/>
    <w:semiHidden/>
    <w:qFormat/>
    <w:uiPriority w:val="99"/>
    <w:rPr>
      <w:kern w:val="2"/>
      <w:sz w:val="18"/>
      <w:szCs w:val="18"/>
    </w:rPr>
  </w:style>
  <w:style w:type="character" w:customStyle="1" w:styleId="40">
    <w:name w:val="文档结构图 字符"/>
    <w:basedOn w:val="24"/>
    <w:link w:val="12"/>
    <w:semiHidden/>
    <w:qFormat/>
    <w:uiPriority w:val="99"/>
    <w:rPr>
      <w:rFonts w:ascii="宋体"/>
      <w:kern w:val="2"/>
      <w:sz w:val="18"/>
      <w:szCs w:val="18"/>
    </w:rPr>
  </w:style>
  <w:style w:type="character" w:customStyle="1" w:styleId="41">
    <w:name w:val="正文文本缩进 2 字符"/>
    <w:basedOn w:val="24"/>
    <w:link w:val="15"/>
    <w:qFormat/>
    <w:uiPriority w:val="0"/>
    <w:rPr>
      <w:rFonts w:ascii="仿宋_GB2312" w:hAnsi="Times New Roman" w:eastAsia="仿宋_GB2312"/>
      <w:b/>
      <w:bCs/>
      <w:kern w:val="2"/>
      <w:sz w:val="30"/>
      <w:szCs w:val="28"/>
    </w:rPr>
  </w:style>
  <w:style w:type="paragraph" w:customStyle="1" w:styleId="42">
    <w:name w:val="Char2"/>
    <w:basedOn w:val="1"/>
    <w:qFormat/>
    <w:uiPriority w:val="0"/>
    <w:rPr>
      <w:rFonts w:ascii="Times New Roman" w:hAnsi="Times New Roman"/>
      <w:szCs w:val="24"/>
    </w:rPr>
  </w:style>
  <w:style w:type="character" w:customStyle="1" w:styleId="43">
    <w:name w:val="标题 3 字符"/>
    <w:basedOn w:val="24"/>
    <w:link w:val="5"/>
    <w:qFormat/>
    <w:uiPriority w:val="9"/>
    <w:rPr>
      <w:b/>
      <w:bCs/>
      <w:kern w:val="2"/>
      <w:sz w:val="32"/>
      <w:szCs w:val="32"/>
    </w:rPr>
  </w:style>
  <w:style w:type="character" w:customStyle="1" w:styleId="44">
    <w:name w:val="脚注文本 字符"/>
    <w:basedOn w:val="24"/>
    <w:link w:val="20"/>
    <w:semiHidden/>
    <w:qFormat/>
    <w:uiPriority w:val="0"/>
    <w:rPr>
      <w:rFonts w:ascii="Times New Roman" w:hAnsi="Times New Roman"/>
      <w:kern w:val="2"/>
      <w:sz w:val="18"/>
      <w:szCs w:val="18"/>
    </w:rPr>
  </w:style>
  <w:style w:type="character" w:customStyle="1" w:styleId="45">
    <w:name w:val="apple-converted-space"/>
    <w:basedOn w:val="24"/>
    <w:qFormat/>
    <w:uiPriority w:val="0"/>
  </w:style>
  <w:style w:type="paragraph" w:customStyle="1" w:styleId="4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47">
    <w:name w:val="font21"/>
    <w:basedOn w:val="24"/>
    <w:qFormat/>
    <w:uiPriority w:val="0"/>
    <w:rPr>
      <w:color w:val="323232"/>
      <w:sz w:val="21"/>
      <w:szCs w:val="21"/>
    </w:rPr>
  </w:style>
  <w:style w:type="paragraph" w:customStyle="1" w:styleId="48">
    <w:name w:val="样式 说明-正文 +"/>
    <w:basedOn w:val="1"/>
    <w:qFormat/>
    <w:uiPriority w:val="0"/>
    <w:pPr>
      <w:spacing w:afterLines="100"/>
      <w:ind w:left="540" w:leftChars="225" w:firstLine="420" w:firstLineChars="175"/>
      <w:jc w:val="left"/>
    </w:pPr>
    <w:rPr>
      <w:rFonts w:ascii="Times New Roman" w:hAnsi="宋体" w:cs="宋体"/>
      <w:sz w:val="24"/>
      <w:szCs w:val="20"/>
    </w:rPr>
  </w:style>
  <w:style w:type="character" w:customStyle="1" w:styleId="49">
    <w:name w:val="HTML 预设格式 字符"/>
    <w:basedOn w:val="24"/>
    <w:link w:val="22"/>
    <w:semiHidden/>
    <w:qFormat/>
    <w:uiPriority w:val="99"/>
    <w:rPr>
      <w:rFonts w:ascii="宋体" w:hAnsi="宋体" w:cs="宋体"/>
      <w:sz w:val="24"/>
      <w:szCs w:val="24"/>
    </w:rPr>
  </w:style>
  <w:style w:type="character" w:customStyle="1" w:styleId="50">
    <w:name w:val="标题 4 字符"/>
    <w:basedOn w:val="24"/>
    <w:link w:val="6"/>
    <w:qFormat/>
    <w:uiPriority w:val="9"/>
    <w:rPr>
      <w:rFonts w:asciiTheme="majorHAnsi" w:hAnsiTheme="majorHAnsi" w:eastAsiaTheme="majorEastAsia" w:cstheme="majorBidi"/>
      <w:b/>
      <w:bCs/>
      <w:kern w:val="2"/>
      <w:sz w:val="28"/>
      <w:szCs w:val="28"/>
    </w:rPr>
  </w:style>
  <w:style w:type="character" w:customStyle="1" w:styleId="51">
    <w:name w:val="fontstyle01"/>
    <w:basedOn w:val="24"/>
    <w:qFormat/>
    <w:uiPriority w:val="0"/>
    <w:rPr>
      <w:rFonts w:hint="default" w:ascii="仿宋_GB2312" w:hAnsi="仿宋_GB2312"/>
      <w:color w:val="000000"/>
      <w:sz w:val="32"/>
      <w:szCs w:val="32"/>
    </w:rPr>
  </w:style>
  <w:style w:type="table" w:customStyle="1" w:styleId="52">
    <w:name w:val="网格型1"/>
    <w:basedOn w:val="3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3">
    <w:name w:val="网格型11"/>
    <w:basedOn w:val="3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4">
    <w:name w:val="正文文本 字符"/>
    <w:basedOn w:val="24"/>
    <w:link w:val="10"/>
    <w:semiHidden/>
    <w:qFormat/>
    <w:uiPriority w:val="99"/>
    <w:rPr>
      <w:kern w:val="2"/>
      <w:sz w:val="21"/>
      <w:szCs w:val="22"/>
    </w:rPr>
  </w:style>
  <w:style w:type="character" w:customStyle="1" w:styleId="55">
    <w:name w:val="正文文本首行缩进 字符"/>
    <w:basedOn w:val="54"/>
    <w:link w:val="9"/>
    <w:semiHidden/>
    <w:qFormat/>
    <w:uiPriority w:val="99"/>
    <w:rPr>
      <w:kern w:val="2"/>
      <w:sz w:val="21"/>
      <w:szCs w:val="22"/>
    </w:rPr>
  </w:style>
  <w:style w:type="character" w:customStyle="1" w:styleId="56">
    <w:name w:val="批注文字 字符"/>
    <w:basedOn w:val="24"/>
    <w:link w:val="8"/>
    <w:semiHidden/>
    <w:qFormat/>
    <w:uiPriority w:val="99"/>
    <w:rPr>
      <w:kern w:val="2"/>
      <w:sz w:val="21"/>
      <w:szCs w:val="22"/>
    </w:rPr>
  </w:style>
  <w:style w:type="character" w:customStyle="1" w:styleId="57">
    <w:name w:val="批注主题 字符"/>
    <w:basedOn w:val="56"/>
    <w:link w:val="7"/>
    <w:semiHidden/>
    <w:qFormat/>
    <w:uiPriority w:val="99"/>
    <w:rPr>
      <w:b/>
      <w:bCs/>
      <w:kern w:val="2"/>
      <w:sz w:val="21"/>
      <w:szCs w:val="22"/>
    </w:rPr>
  </w:style>
  <w:style w:type="character" w:customStyle="1" w:styleId="58">
    <w:name w:val="未处理的提及1"/>
    <w:basedOn w:val="24"/>
    <w:unhideWhenUsed/>
    <w:qFormat/>
    <w:uiPriority w:val="99"/>
    <w:rPr>
      <w:color w:val="605E5C"/>
      <w:shd w:val="clear" w:color="auto" w:fill="E1DFDD"/>
    </w:rPr>
  </w:style>
  <w:style w:type="paragraph" w:customStyle="1" w:styleId="59">
    <w:name w:val="修订1"/>
    <w:hidden/>
    <w:semiHidden/>
    <w:qFormat/>
    <w:uiPriority w:val="99"/>
    <w:rPr>
      <w:rFonts w:ascii="Calibri" w:hAnsi="Calibri" w:eastAsia="宋体" w:cs="Times New Roman"/>
      <w:kern w:val="2"/>
      <w:sz w:val="21"/>
      <w:szCs w:val="22"/>
      <w:lang w:val="en-US" w:eastAsia="zh-CN" w:bidi="ar-SA"/>
    </w:rPr>
  </w:style>
  <w:style w:type="character" w:customStyle="1" w:styleId="60">
    <w:name w:val="NormalCharacter"/>
    <w:qFormat/>
    <w:uiPriority w:val="0"/>
  </w:style>
  <w:style w:type="paragraph" w:customStyle="1" w:styleId="61">
    <w:name w:val="修订2"/>
    <w:hidden/>
    <w:semiHidden/>
    <w:qFormat/>
    <w:uiPriority w:val="99"/>
    <w:rPr>
      <w:rFonts w:ascii="Calibri" w:hAnsi="Calibri" w:eastAsia="宋体" w:cs="Times New Roman"/>
      <w:kern w:val="2"/>
      <w:sz w:val="21"/>
      <w:szCs w:val="22"/>
      <w:lang w:val="en-US" w:eastAsia="zh-CN" w:bidi="ar-SA"/>
    </w:rPr>
  </w:style>
  <w:style w:type="paragraph" w:customStyle="1" w:styleId="62">
    <w:name w:val="修订3"/>
    <w:hidden/>
    <w:semiHidden/>
    <w:qFormat/>
    <w:uiPriority w:val="99"/>
    <w:rPr>
      <w:rFonts w:ascii="Calibri" w:hAnsi="Calibri" w:eastAsia="宋体" w:cs="Times New Roman"/>
      <w:kern w:val="2"/>
      <w:sz w:val="21"/>
      <w:szCs w:val="22"/>
      <w:lang w:val="en-US" w:eastAsia="zh-CN" w:bidi="ar-SA"/>
    </w:rPr>
  </w:style>
  <w:style w:type="paragraph" w:customStyle="1" w:styleId="63">
    <w:name w:val="修订4"/>
    <w:hidden/>
    <w:semiHidden/>
    <w:qFormat/>
    <w:uiPriority w:val="99"/>
    <w:rPr>
      <w:rFonts w:ascii="Calibri" w:hAnsi="Calibri" w:eastAsia="宋体" w:cs="Times New Roman"/>
      <w:kern w:val="2"/>
      <w:sz w:val="21"/>
      <w:szCs w:val="22"/>
      <w:lang w:val="en-US" w:eastAsia="zh-CN" w:bidi="ar-SA"/>
    </w:rPr>
  </w:style>
  <w:style w:type="paragraph" w:customStyle="1" w:styleId="64">
    <w:name w:val="Revision"/>
    <w:hidden/>
    <w:semiHidden/>
    <w:uiPriority w:val="99"/>
    <w:rPr>
      <w:rFonts w:ascii="Calibri" w:hAnsi="Calibri" w:eastAsia="宋体" w:cs="Times New Roman"/>
      <w:kern w:val="2"/>
      <w:sz w:val="21"/>
      <w:szCs w:val="2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757DF-1174-43F7-93AC-C955C6B0D0D3}">
  <ds:schemaRefs/>
</ds:datastoreItem>
</file>

<file path=docProps/app.xml><?xml version="1.0" encoding="utf-8"?>
<Properties xmlns="http://schemas.openxmlformats.org/officeDocument/2006/extended-properties" xmlns:vt="http://schemas.openxmlformats.org/officeDocument/2006/docPropsVTypes">
  <Template>Normal</Template>
  <Pages>43</Pages>
  <Words>3540</Words>
  <Characters>20183</Characters>
  <Lines>168</Lines>
  <Paragraphs>47</Paragraphs>
  <TotalTime>0</TotalTime>
  <ScaleCrop>false</ScaleCrop>
  <LinksUpToDate>false</LinksUpToDate>
  <CharactersWithSpaces>23676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2018-04-25T02:17:00Z</dcterms:created>
  <dc:creator>tyche</dc:creator>
  <cp:lastModifiedBy>孔严</cp:lastModifiedBy>
  <dcterms:modified xsi:type="dcterms:W3CDTF">2022-01-12T09:07:20Z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1976900055</vt:i4>
  </property>
  <property fmtid="{D5CDD505-2E9C-101B-9397-08002B2CF9AE}" pid="3" name="KSOProductBuildVer">
    <vt:lpwstr>2052-10.8.0.5950</vt:lpwstr>
  </property>
</Properties>
</file>