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bCs/>
          <w:sz w:val="64"/>
          <w:szCs w:val="64"/>
        </w:rPr>
      </w:pPr>
    </w:p>
    <w:p>
      <w:pPr>
        <w:jc w:val="center"/>
        <w:rPr>
          <w:rFonts w:ascii="微软雅黑" w:hAnsi="微软雅黑" w:eastAsia="微软雅黑"/>
          <w:b/>
          <w:bCs/>
          <w:sz w:val="64"/>
          <w:szCs w:val="64"/>
        </w:rPr>
      </w:pPr>
    </w:p>
    <w:p>
      <w:pPr>
        <w:jc w:val="center"/>
        <w:rPr>
          <w:rFonts w:ascii="微软雅黑" w:hAnsi="微软雅黑" w:eastAsia="微软雅黑"/>
          <w:b/>
          <w:bCs/>
          <w:sz w:val="64"/>
          <w:szCs w:val="64"/>
        </w:rPr>
      </w:pPr>
      <w:r>
        <w:rPr>
          <w:rFonts w:hint="eastAsia" w:ascii="微软雅黑" w:hAnsi="微软雅黑" w:eastAsia="微软雅黑"/>
          <w:b/>
          <w:bCs/>
          <w:sz w:val="64"/>
          <w:szCs w:val="64"/>
        </w:rPr>
        <w:t>云南省综合评标专家系统</w:t>
      </w:r>
    </w:p>
    <w:p>
      <w:pPr>
        <w:jc w:val="center"/>
        <w:rPr>
          <w:rFonts w:ascii="微软雅黑" w:hAnsi="微软雅黑" w:eastAsia="微软雅黑"/>
          <w:b/>
          <w:bCs/>
          <w:sz w:val="64"/>
          <w:szCs w:val="64"/>
        </w:rPr>
      </w:pPr>
      <w:r>
        <w:rPr>
          <w:rFonts w:hint="eastAsia" w:ascii="微软雅黑" w:hAnsi="微软雅黑" w:eastAsia="微软雅黑"/>
          <w:b/>
          <w:bCs/>
          <w:sz w:val="64"/>
          <w:szCs w:val="64"/>
        </w:rPr>
        <w:t>操作手册</w:t>
      </w:r>
      <w:r>
        <w:rPr>
          <w:rFonts w:hint="eastAsia" w:ascii="微软雅黑" w:hAnsi="微软雅黑" w:eastAsia="微软雅黑"/>
          <w:b/>
          <w:bCs/>
          <w:sz w:val="64"/>
          <w:szCs w:val="64"/>
          <w:lang w:eastAsia="zh-CN"/>
        </w:rPr>
        <w:t>（评标</w:t>
      </w:r>
      <w:r>
        <w:rPr>
          <w:rFonts w:hint="eastAsia" w:ascii="微软雅黑" w:hAnsi="微软雅黑" w:eastAsia="微软雅黑"/>
          <w:b/>
          <w:bCs/>
          <w:sz w:val="64"/>
          <w:szCs w:val="64"/>
        </w:rPr>
        <w:t>专家</w:t>
      </w:r>
      <w:r>
        <w:rPr>
          <w:rFonts w:hint="eastAsia" w:ascii="微软雅黑" w:hAnsi="微软雅黑" w:eastAsia="微软雅黑"/>
          <w:b/>
          <w:bCs/>
          <w:sz w:val="64"/>
          <w:szCs w:val="64"/>
          <w:lang w:eastAsia="zh-CN"/>
        </w:rPr>
        <w:t>）</w:t>
      </w:r>
    </w:p>
    <w:p/>
    <w:p/>
    <w:p/>
    <w:p>
      <w:bookmarkStart w:id="5" w:name="_GoBack"/>
      <w:bookmarkEnd w:id="5"/>
    </w:p>
    <w:p/>
    <w:p/>
    <w:p/>
    <w:p/>
    <w:p/>
    <w:p/>
    <w:p/>
    <w:p/>
    <w:p/>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登录云南省综合评标专家系统，找到【评标专家】登录入口，详情如图所示。</w:t>
      </w:r>
    </w:p>
    <w:p>
      <w:pPr>
        <w:spacing w:line="360" w:lineRule="auto"/>
        <w:ind w:firstLine="420" w:firstLineChars="200"/>
      </w:pPr>
      <w:r>
        <w:drawing>
          <wp:inline distT="0" distB="0" distL="0" distR="0">
            <wp:extent cx="5274310" cy="26619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5274310" cy="2661920"/>
                    </a:xfrm>
                    <a:prstGeom prst="rect">
                      <a:avLst/>
                    </a:prstGeom>
                  </pic:spPr>
                </pic:pic>
              </a:graphicData>
            </a:graphic>
          </wp:inline>
        </w:drawing>
      </w:r>
    </w:p>
    <w:p>
      <w:pPr>
        <w:spacing w:line="360" w:lineRule="auto"/>
        <w:ind w:firstLine="560" w:firstLineChars="200"/>
        <w:rPr>
          <w:rFonts w:asciiTheme="minorEastAsia" w:hAnsiTheme="minorEastAsia" w:cstheme="minorEastAsia"/>
          <w:color w:val="0000FF"/>
          <w:sz w:val="28"/>
          <w:szCs w:val="28"/>
        </w:rPr>
      </w:pPr>
      <w:r>
        <w:rPr>
          <w:rFonts w:hint="eastAsia" w:asciiTheme="minorEastAsia" w:hAnsiTheme="minorEastAsia" w:cstheme="minorEastAsia"/>
          <w:sz w:val="28"/>
          <w:szCs w:val="28"/>
        </w:rPr>
        <w:t>在库专家可使用个人CA数字证书登录或账号密码登录系统。</w:t>
      </w:r>
      <w:r>
        <w:rPr>
          <w:rFonts w:hint="eastAsia" w:asciiTheme="minorEastAsia" w:hAnsiTheme="minorEastAsia" w:cstheme="minorEastAsia"/>
          <w:color w:val="0000FF"/>
          <w:sz w:val="28"/>
          <w:szCs w:val="28"/>
        </w:rPr>
        <w:t>（账号为手机号或身份证号，初始密码为Abcd@123或1</w:t>
      </w:r>
      <w:r>
        <w:rPr>
          <w:rFonts w:asciiTheme="minorEastAsia" w:hAnsiTheme="minorEastAsia" w:cstheme="minorEastAsia"/>
          <w:color w:val="0000FF"/>
          <w:sz w:val="28"/>
          <w:szCs w:val="28"/>
        </w:rPr>
        <w:t>23456</w:t>
      </w:r>
      <w:r>
        <w:rPr>
          <w:rFonts w:hint="eastAsia" w:asciiTheme="minorEastAsia" w:hAnsiTheme="minorEastAsia" w:cstheme="minorEastAsia"/>
          <w:color w:val="0000FF"/>
          <w:sz w:val="28"/>
          <w:szCs w:val="28"/>
        </w:rPr>
        <w:t>)</w:t>
      </w:r>
    </w:p>
    <w:p>
      <w:pPr>
        <w:pStyle w:val="2"/>
      </w:pPr>
      <w:bookmarkStart w:id="0" w:name="_Toc5075"/>
      <w:r>
        <w:rPr>
          <w:rFonts w:hint="eastAsia"/>
        </w:rPr>
        <w:t>一 评标专家账号注册</w:t>
      </w:r>
      <w:bookmarkEnd w:id="0"/>
    </w:p>
    <w:p>
      <w:pPr>
        <w:ind w:firstLine="420"/>
        <w:rPr>
          <w:rFonts w:hint="eastAsia"/>
          <w:sz w:val="28"/>
          <w:szCs w:val="28"/>
        </w:rPr>
      </w:pPr>
      <w:r>
        <w:rPr>
          <w:rFonts w:hint="eastAsia"/>
          <w:sz w:val="28"/>
          <w:szCs w:val="28"/>
        </w:rPr>
        <w:t>评标专家在注册前需先办理数字CA证书，CA证书可至就近的市级交易中心办理，详情可咨询数字证书运维服务24小时客服热线：400-6727-666。</w:t>
      </w:r>
    </w:p>
    <w:p>
      <w:pPr>
        <w:spacing w:line="360" w:lineRule="auto"/>
        <w:ind w:firstLine="420"/>
        <w:rPr>
          <w:sz w:val="28"/>
          <w:szCs w:val="28"/>
        </w:rPr>
      </w:pPr>
      <w:r>
        <w:rPr>
          <w:rFonts w:hint="eastAsia"/>
          <w:sz w:val="28"/>
          <w:szCs w:val="28"/>
        </w:rPr>
        <w:t>数字证书办理成功后，访问</w:t>
      </w:r>
    </w:p>
    <w:p>
      <w:pPr>
        <w:spacing w:line="360" w:lineRule="auto"/>
        <w:ind w:firstLine="420"/>
        <w:rPr>
          <w:sz w:val="28"/>
          <w:szCs w:val="32"/>
        </w:rPr>
      </w:pPr>
      <w:r>
        <w:fldChar w:fldCharType="begin"/>
      </w:r>
      <w:r>
        <w:instrText xml:space="preserve"> HYPERLINK "https://www.biaoshitong.com/tools/?sourceGuid=zczs_%E4%BA%91%E5%8D%97_%E7%9C%81%E6%9C%AC%E7%BA%A7" </w:instrText>
      </w:r>
      <w:r>
        <w:fldChar w:fldCharType="separate"/>
      </w:r>
      <w:r>
        <w:rPr>
          <w:rStyle w:val="8"/>
        </w:rPr>
        <w:t>https://www.biaoshitong.com/tools/?sourceGuid=zczs_%E4%BA%91%E5%8D%97_%E7%9C%81%E6%9C%AC%E7%BA%A7</w:t>
      </w:r>
      <w:r>
        <w:rPr>
          <w:rStyle w:val="8"/>
        </w:rPr>
        <w:fldChar w:fldCharType="end"/>
      </w:r>
      <w:r>
        <w:rPr>
          <w:rFonts w:hint="eastAsia"/>
        </w:rPr>
        <w:t>，</w:t>
      </w:r>
      <w:r>
        <w:rPr>
          <w:rFonts w:hint="eastAsia"/>
          <w:sz w:val="28"/>
          <w:szCs w:val="32"/>
        </w:rPr>
        <w:t>点击驱动程序下载并按照流程安装</w:t>
      </w:r>
    </w:p>
    <w:p>
      <w:pPr>
        <w:spacing w:line="360" w:lineRule="auto"/>
        <w:ind w:firstLine="420"/>
        <w:rPr>
          <w:rFonts w:hint="eastAsia"/>
        </w:rPr>
      </w:pPr>
      <w:r>
        <w:drawing>
          <wp:inline distT="0" distB="0" distL="0" distR="0">
            <wp:extent cx="5274310" cy="2661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2661920"/>
                    </a:xfrm>
                    <a:prstGeom prst="rect">
                      <a:avLst/>
                    </a:prstGeom>
                  </pic:spPr>
                </pic:pic>
              </a:graphicData>
            </a:graphic>
          </wp:inline>
        </w:drawing>
      </w:r>
    </w:p>
    <w:p>
      <w:pPr>
        <w:spacing w:line="360" w:lineRule="auto"/>
        <w:ind w:firstLine="420"/>
      </w:pPr>
    </w:p>
    <w:p>
      <w:pPr>
        <w:spacing w:line="360" w:lineRule="auto"/>
        <w:ind w:firstLine="420"/>
        <w:rPr>
          <w:sz w:val="28"/>
          <w:szCs w:val="28"/>
        </w:rPr>
      </w:pPr>
      <w:r>
        <w:rPr>
          <w:rFonts w:hint="eastAsia"/>
          <w:sz w:val="28"/>
          <w:szCs w:val="28"/>
        </w:rPr>
        <w:t>安装成功后，在电脑上插入数字证书，点击界面下方【立即注册】进入账号注册界面并填写账号注册信息。注：未办理数字CA证书无法进行注册。</w:t>
      </w:r>
    </w:p>
    <w:p>
      <w:pPr>
        <w:spacing w:line="360" w:lineRule="auto"/>
        <w:rPr>
          <w:sz w:val="28"/>
          <w:szCs w:val="28"/>
        </w:rPr>
      </w:pPr>
      <w:r>
        <w:drawing>
          <wp:inline distT="0" distB="0" distL="0" distR="0">
            <wp:extent cx="5274310" cy="26619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4310" cy="2661920"/>
                    </a:xfrm>
                    <a:prstGeom prst="rect">
                      <a:avLst/>
                    </a:prstGeom>
                  </pic:spPr>
                </pic:pic>
              </a:graphicData>
            </a:graphic>
          </wp:inline>
        </w:drawing>
      </w:r>
    </w:p>
    <w:p>
      <w:pPr>
        <w:spacing w:line="360" w:lineRule="auto"/>
        <w:ind w:firstLine="420" w:firstLineChars="200"/>
        <w:rPr>
          <w:sz w:val="28"/>
          <w:szCs w:val="28"/>
        </w:rPr>
      </w:pPr>
      <w:r>
        <w:drawing>
          <wp:inline distT="0" distB="0" distL="0" distR="0">
            <wp:extent cx="5274310" cy="2508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4310" cy="2508250"/>
                    </a:xfrm>
                    <a:prstGeom prst="rect">
                      <a:avLst/>
                    </a:prstGeom>
                  </pic:spPr>
                </pic:pic>
              </a:graphicData>
            </a:graphic>
          </wp:inline>
        </w:drawing>
      </w:r>
    </w:p>
    <w:p>
      <w:pPr>
        <w:spacing w:line="360" w:lineRule="auto"/>
        <w:ind w:firstLine="560" w:firstLineChars="200"/>
        <w:rPr>
          <w:sz w:val="28"/>
          <w:szCs w:val="28"/>
        </w:rPr>
      </w:pPr>
      <w:r>
        <w:rPr>
          <w:rFonts w:hint="eastAsia"/>
          <w:sz w:val="28"/>
          <w:szCs w:val="28"/>
        </w:rPr>
        <w:t>将接收到的验证码进行填写，并点击【《云南省综合评标专家库专家注册条款》】阅读条款相关内容，阅读完成后关闭页面并勾选【我同意并遵守《云南省综合评标专家库专家注册条款》】。</w:t>
      </w:r>
    </w:p>
    <w:p>
      <w:pPr>
        <w:spacing w:line="360" w:lineRule="auto"/>
        <w:jc w:val="center"/>
        <w:rPr>
          <w:sz w:val="28"/>
          <w:szCs w:val="28"/>
        </w:rPr>
      </w:pPr>
      <w:r>
        <w:drawing>
          <wp:inline distT="0" distB="0" distL="114300" distR="114300">
            <wp:extent cx="4665345" cy="3892550"/>
            <wp:effectExtent l="0" t="0" r="1905" b="12700"/>
            <wp:docPr id="1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
                    <pic:cNvPicPr>
                      <a:picLocks noChangeAspect="1"/>
                    </pic:cNvPicPr>
                  </pic:nvPicPr>
                  <pic:blipFill>
                    <a:blip r:embed="rId9"/>
                    <a:stretch>
                      <a:fillRect/>
                    </a:stretch>
                  </pic:blipFill>
                  <pic:spPr>
                    <a:xfrm>
                      <a:off x="0" y="0"/>
                      <a:ext cx="4665345" cy="3892550"/>
                    </a:xfrm>
                    <a:prstGeom prst="rect">
                      <a:avLst/>
                    </a:prstGeom>
                    <a:noFill/>
                    <a:ln>
                      <a:noFill/>
                    </a:ln>
                  </pic:spPr>
                </pic:pic>
              </a:graphicData>
            </a:graphic>
          </wp:inline>
        </w:drawing>
      </w:r>
    </w:p>
    <w:p>
      <w:pPr>
        <w:spacing w:line="360" w:lineRule="auto"/>
        <w:ind w:firstLine="560" w:firstLineChars="200"/>
        <w:rPr>
          <w:color w:val="0000FF"/>
          <w:sz w:val="28"/>
          <w:szCs w:val="28"/>
        </w:rPr>
      </w:pPr>
      <w:r>
        <w:rPr>
          <w:rFonts w:hint="eastAsia"/>
          <w:sz w:val="28"/>
          <w:szCs w:val="28"/>
        </w:rPr>
        <w:t>完成上述步骤后，点击【注册并完善信息】进入个人信息填写页面。专家入库申请须填写【基础信息】、【工作信息】、【评标信息】、【其他及附件】，填写完成后提交审核。</w:t>
      </w:r>
      <w:r>
        <w:rPr>
          <w:rFonts w:hint="eastAsia"/>
          <w:color w:val="0000FF"/>
          <w:sz w:val="28"/>
          <w:szCs w:val="28"/>
        </w:rPr>
        <w:t>（需填写内容较多，建议提前准备好身份证扫描件、个人照片、银行卡扫描件、学历证明材料、工作经历及职称证明等材料）。</w:t>
      </w:r>
    </w:p>
    <w:p>
      <w:pPr>
        <w:spacing w:line="360" w:lineRule="auto"/>
        <w:rPr>
          <w:sz w:val="28"/>
          <w:szCs w:val="28"/>
        </w:rPr>
      </w:pPr>
      <w:r>
        <w:drawing>
          <wp:inline distT="0" distB="0" distL="114300" distR="114300">
            <wp:extent cx="5263515" cy="2211705"/>
            <wp:effectExtent l="0" t="0" r="13335" b="17145"/>
            <wp:docPr id="1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pic:cNvPicPr>
                      <a:picLocks noChangeAspect="1"/>
                    </pic:cNvPicPr>
                  </pic:nvPicPr>
                  <pic:blipFill>
                    <a:blip r:embed="rId10"/>
                    <a:stretch>
                      <a:fillRect/>
                    </a:stretch>
                  </pic:blipFill>
                  <pic:spPr>
                    <a:xfrm>
                      <a:off x="0" y="0"/>
                      <a:ext cx="5263515" cy="2211705"/>
                    </a:xfrm>
                    <a:prstGeom prst="rect">
                      <a:avLst/>
                    </a:prstGeom>
                    <a:noFill/>
                    <a:ln>
                      <a:noFill/>
                    </a:ln>
                  </pic:spPr>
                </pic:pic>
              </a:graphicData>
            </a:graphic>
          </wp:inline>
        </w:drawing>
      </w:r>
    </w:p>
    <w:p>
      <w:pPr>
        <w:spacing w:line="360" w:lineRule="auto"/>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信息填写注意事项：</w:t>
      </w:r>
    </w:p>
    <w:p>
      <w:pPr>
        <w:numPr>
          <w:ilvl w:val="0"/>
          <w:numId w:val="1"/>
        </w:num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带红色“*”的内容都是必填项，必须填写；</w:t>
      </w:r>
    </w:p>
    <w:p>
      <w:pPr>
        <w:numPr>
          <w:ilvl w:val="0"/>
          <w:numId w:val="1"/>
        </w:num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评标专业选择时，请注意观察专业显示列表中的所属部门，每个所属部门最多只能选择一个主评五个辅评共六个专业；</w:t>
      </w:r>
    </w:p>
    <w:p>
      <w:pPr>
        <w:numPr>
          <w:ilvl w:val="0"/>
          <w:numId w:val="1"/>
        </w:numPr>
        <w:spacing w:line="360" w:lineRule="auto"/>
        <w:rPr>
          <w:sz w:val="24"/>
          <w:szCs w:val="24"/>
        </w:rPr>
      </w:pPr>
      <w:r>
        <w:rPr>
          <w:rFonts w:hint="eastAsia" w:asciiTheme="minorEastAsia" w:hAnsiTheme="minorEastAsia" w:cstheme="minorEastAsia"/>
          <w:sz w:val="24"/>
          <w:szCs w:val="24"/>
        </w:rPr>
        <w:t>信息未填写完成但已退出系统的用户若要重新进去填写界面可使用注册账号时设置的手机号及密码从评标专家登录入口进入。</w:t>
      </w:r>
    </w:p>
    <w:p>
      <w:pPr>
        <w:numPr>
          <w:ilvl w:val="0"/>
          <w:numId w:val="1"/>
        </w:numPr>
        <w:spacing w:line="360" w:lineRule="auto"/>
        <w:rPr>
          <w:sz w:val="24"/>
          <w:szCs w:val="24"/>
        </w:rPr>
      </w:pPr>
      <w:r>
        <w:rPr>
          <w:rFonts w:hint="eastAsia"/>
          <w:sz w:val="24"/>
          <w:szCs w:val="24"/>
        </w:rPr>
        <w:t>若忘记密码，可在评标专家账号登录入口点击忘记密码重新设置。</w:t>
      </w:r>
    </w:p>
    <w:p>
      <w:pPr>
        <w:pStyle w:val="2"/>
      </w:pPr>
      <w:bookmarkStart w:id="1" w:name="_Toc14792"/>
      <w:r>
        <w:rPr>
          <w:rFonts w:hint="eastAsia"/>
        </w:rPr>
        <w:t>二 评标专家信息维护及日常管理</w:t>
      </w:r>
      <w:bookmarkEnd w:id="1"/>
    </w:p>
    <w:p>
      <w:pPr>
        <w:outlineLvl w:val="2"/>
        <w:rPr>
          <w:sz w:val="28"/>
          <w:szCs w:val="28"/>
        </w:rPr>
      </w:pPr>
      <w:bookmarkStart w:id="2" w:name="_Toc7180"/>
      <w:r>
        <w:rPr>
          <w:sz w:val="28"/>
          <w:szCs w:val="28"/>
        </w:rPr>
        <w:t>2.1</w:t>
      </w:r>
      <w:r>
        <w:rPr>
          <w:rFonts w:hint="eastAsia"/>
          <w:sz w:val="28"/>
          <w:szCs w:val="28"/>
        </w:rPr>
        <w:t>专家管理</w:t>
      </w:r>
      <w:bookmarkEnd w:id="2"/>
    </w:p>
    <w:p>
      <w:pPr>
        <w:numPr>
          <w:ilvl w:val="0"/>
          <w:numId w:val="2"/>
        </w:numPr>
        <w:spacing w:line="360" w:lineRule="auto"/>
        <w:rPr>
          <w:sz w:val="28"/>
          <w:szCs w:val="28"/>
        </w:rPr>
      </w:pPr>
      <w:r>
        <w:rPr>
          <w:rFonts w:hint="eastAsia"/>
          <w:sz w:val="28"/>
          <w:szCs w:val="28"/>
        </w:rPr>
        <w:t>考核情况</w:t>
      </w:r>
    </w:p>
    <w:p>
      <w:pPr>
        <w:spacing w:line="360" w:lineRule="auto"/>
        <w:ind w:firstLine="560" w:firstLineChars="200"/>
        <w:rPr>
          <w:sz w:val="28"/>
          <w:szCs w:val="28"/>
        </w:rPr>
      </w:pPr>
      <w:r>
        <w:rPr>
          <w:rFonts w:hint="eastAsia"/>
          <w:sz w:val="28"/>
          <w:szCs w:val="28"/>
        </w:rPr>
        <w:t>点击【考核情况】可查看个人的“出勤考核”、“日常考核”、“年终考核”、“年度综合考核”、“动态考核”进行查看。</w:t>
      </w:r>
    </w:p>
    <w:p>
      <w:pPr>
        <w:spacing w:line="360" w:lineRule="auto"/>
        <w:rPr>
          <w:sz w:val="24"/>
          <w:szCs w:val="24"/>
        </w:rPr>
      </w:pPr>
    </w:p>
    <w:p>
      <w:pPr>
        <w:spacing w:line="360" w:lineRule="auto"/>
      </w:pPr>
      <w:r>
        <w:drawing>
          <wp:inline distT="0" distB="0" distL="114300" distR="114300">
            <wp:extent cx="5265420" cy="1932940"/>
            <wp:effectExtent l="0" t="0" r="1143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5420" cy="1932940"/>
                    </a:xfrm>
                    <a:prstGeom prst="rect">
                      <a:avLst/>
                    </a:prstGeom>
                    <a:noFill/>
                    <a:ln>
                      <a:noFill/>
                    </a:ln>
                  </pic:spPr>
                </pic:pic>
              </a:graphicData>
            </a:graphic>
          </wp:inline>
        </w:drawing>
      </w:r>
    </w:p>
    <w:p>
      <w:pPr>
        <w:numPr>
          <w:ilvl w:val="0"/>
          <w:numId w:val="2"/>
        </w:numPr>
        <w:spacing w:line="360" w:lineRule="auto"/>
        <w:rPr>
          <w:sz w:val="28"/>
          <w:szCs w:val="28"/>
        </w:rPr>
      </w:pPr>
      <w:r>
        <w:rPr>
          <w:rFonts w:hint="eastAsia"/>
          <w:sz w:val="28"/>
          <w:szCs w:val="28"/>
        </w:rPr>
        <w:t>专家请假</w:t>
      </w:r>
    </w:p>
    <w:p>
      <w:pPr>
        <w:spacing w:line="360" w:lineRule="auto"/>
        <w:ind w:firstLine="560" w:firstLineChars="200"/>
        <w:rPr>
          <w:sz w:val="28"/>
          <w:szCs w:val="28"/>
        </w:rPr>
      </w:pPr>
      <w:r>
        <w:rPr>
          <w:rFonts w:hint="eastAsia"/>
          <w:sz w:val="28"/>
          <w:szCs w:val="28"/>
        </w:rPr>
        <w:t>专家请假环节分为紧急请假和个人休假。紧急请假：专家被某个项目抽取并确认参加评标，但临时有事无法继续出席需请假可在此处操作。个人休假：专家某段时间内无法参加评标，可在个人休假中添加请假记录，选择起止时间，在该段时间内专家抽取时将不进行抽取。</w:t>
      </w:r>
    </w:p>
    <w:p>
      <w:pPr>
        <w:spacing w:line="360" w:lineRule="auto"/>
      </w:pPr>
      <w:r>
        <w:drawing>
          <wp:inline distT="0" distB="0" distL="114300" distR="114300">
            <wp:extent cx="5266055" cy="1840230"/>
            <wp:effectExtent l="0" t="0" r="1079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6055" cy="1840230"/>
                    </a:xfrm>
                    <a:prstGeom prst="rect">
                      <a:avLst/>
                    </a:prstGeom>
                    <a:noFill/>
                    <a:ln>
                      <a:noFill/>
                    </a:ln>
                  </pic:spPr>
                </pic:pic>
              </a:graphicData>
            </a:graphic>
          </wp:inline>
        </w:drawing>
      </w:r>
    </w:p>
    <w:p>
      <w:pPr>
        <w:spacing w:line="360" w:lineRule="auto"/>
      </w:pPr>
      <w:r>
        <w:drawing>
          <wp:inline distT="0" distB="0" distL="114300" distR="114300">
            <wp:extent cx="5265420" cy="1610995"/>
            <wp:effectExtent l="0" t="0" r="1143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65420" cy="1610995"/>
                    </a:xfrm>
                    <a:prstGeom prst="rect">
                      <a:avLst/>
                    </a:prstGeom>
                    <a:noFill/>
                    <a:ln>
                      <a:noFill/>
                    </a:ln>
                  </pic:spPr>
                </pic:pic>
              </a:graphicData>
            </a:graphic>
          </wp:inline>
        </w:drawing>
      </w:r>
    </w:p>
    <w:p>
      <w:pPr>
        <w:numPr>
          <w:ilvl w:val="0"/>
          <w:numId w:val="2"/>
        </w:numPr>
        <w:spacing w:line="360" w:lineRule="auto"/>
        <w:rPr>
          <w:sz w:val="28"/>
          <w:szCs w:val="28"/>
        </w:rPr>
      </w:pPr>
      <w:r>
        <w:rPr>
          <w:rFonts w:hint="eastAsia"/>
          <w:sz w:val="28"/>
          <w:szCs w:val="28"/>
        </w:rPr>
        <w:t>抽取记录</w:t>
      </w:r>
    </w:p>
    <w:p>
      <w:pPr>
        <w:spacing w:line="360" w:lineRule="auto"/>
        <w:rPr>
          <w:sz w:val="28"/>
          <w:szCs w:val="28"/>
        </w:rPr>
      </w:pPr>
      <w:r>
        <w:rPr>
          <w:rFonts w:hint="eastAsia"/>
          <w:sz w:val="28"/>
          <w:szCs w:val="28"/>
        </w:rPr>
        <w:t>在该环节专家可查询参与评标的历史项目。</w:t>
      </w:r>
    </w:p>
    <w:p>
      <w:pPr>
        <w:spacing w:line="360" w:lineRule="auto"/>
      </w:pPr>
      <w:r>
        <w:drawing>
          <wp:inline distT="0" distB="0" distL="114300" distR="114300">
            <wp:extent cx="5264785" cy="1160780"/>
            <wp:effectExtent l="0" t="0" r="1206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64785" cy="1160780"/>
                    </a:xfrm>
                    <a:prstGeom prst="rect">
                      <a:avLst/>
                    </a:prstGeom>
                    <a:noFill/>
                    <a:ln>
                      <a:noFill/>
                    </a:ln>
                  </pic:spPr>
                </pic:pic>
              </a:graphicData>
            </a:graphic>
          </wp:inline>
        </w:drawing>
      </w:r>
    </w:p>
    <w:p>
      <w:pPr>
        <w:spacing w:line="360" w:lineRule="auto"/>
        <w:outlineLvl w:val="2"/>
        <w:rPr>
          <w:rFonts w:ascii="宋体" w:hAnsi="宋体" w:eastAsia="宋体" w:cs="宋体"/>
          <w:sz w:val="28"/>
          <w:szCs w:val="28"/>
        </w:rPr>
      </w:pPr>
      <w:bookmarkStart w:id="3" w:name="_Toc14978"/>
      <w:r>
        <w:rPr>
          <w:rFonts w:ascii="宋体" w:hAnsi="宋体" w:eastAsia="宋体" w:cs="宋体"/>
          <w:sz w:val="28"/>
          <w:szCs w:val="28"/>
        </w:rPr>
        <w:t>2.2</w:t>
      </w:r>
      <w:r>
        <w:rPr>
          <w:rFonts w:hint="eastAsia" w:ascii="宋体" w:hAnsi="宋体" w:eastAsia="宋体" w:cs="宋体"/>
          <w:sz w:val="28"/>
          <w:szCs w:val="28"/>
        </w:rPr>
        <w:t xml:space="preserve"> 个人信息</w:t>
      </w:r>
      <w:bookmarkEnd w:id="3"/>
    </w:p>
    <w:p>
      <w:pPr>
        <w:numPr>
          <w:ilvl w:val="0"/>
          <w:numId w:val="2"/>
        </w:numPr>
        <w:spacing w:line="360" w:lineRule="auto"/>
        <w:rPr>
          <w:rFonts w:ascii="宋体" w:hAnsi="宋体" w:eastAsia="宋体" w:cs="宋体"/>
          <w:sz w:val="28"/>
          <w:szCs w:val="28"/>
        </w:rPr>
      </w:pPr>
      <w:r>
        <w:rPr>
          <w:rFonts w:hint="eastAsia" w:ascii="宋体" w:hAnsi="宋体" w:eastAsia="宋体" w:cs="宋体"/>
          <w:sz w:val="28"/>
          <w:szCs w:val="28"/>
        </w:rPr>
        <w:t>查看个人信息</w:t>
      </w:r>
    </w:p>
    <w:p>
      <w:pPr>
        <w:spacing w:line="360" w:lineRule="auto"/>
        <w:rPr>
          <w:rFonts w:ascii="宋体" w:hAnsi="宋体" w:eastAsia="宋体" w:cs="宋体"/>
          <w:sz w:val="28"/>
          <w:szCs w:val="28"/>
        </w:rPr>
      </w:pPr>
      <w:r>
        <w:rPr>
          <w:rFonts w:hint="eastAsia"/>
          <w:sz w:val="28"/>
          <w:szCs w:val="28"/>
        </w:rPr>
        <w:t>在该环节可查看个人信息，包含基础信息、学历及工作经历、评标相关、其他及附件</w:t>
      </w:r>
      <w:r>
        <w:rPr>
          <w:rFonts w:hint="eastAsia" w:ascii="宋体" w:hAnsi="宋体" w:eastAsia="宋体" w:cs="宋体"/>
          <w:sz w:val="28"/>
          <w:szCs w:val="28"/>
        </w:rPr>
        <w:t>。此环节显示的信息均为已生效的信息。</w:t>
      </w:r>
    </w:p>
    <w:p>
      <w:pPr>
        <w:spacing w:line="360" w:lineRule="auto"/>
      </w:pPr>
      <w:r>
        <w:drawing>
          <wp:inline distT="0" distB="0" distL="114300" distR="114300">
            <wp:extent cx="5273040" cy="1767205"/>
            <wp:effectExtent l="0" t="0" r="381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3040" cy="1767205"/>
                    </a:xfrm>
                    <a:prstGeom prst="rect">
                      <a:avLst/>
                    </a:prstGeom>
                    <a:noFill/>
                    <a:ln>
                      <a:noFill/>
                    </a:ln>
                  </pic:spPr>
                </pic:pic>
              </a:graphicData>
            </a:graphic>
          </wp:inline>
        </w:drawing>
      </w:r>
    </w:p>
    <w:p>
      <w:pPr>
        <w:numPr>
          <w:ilvl w:val="0"/>
          <w:numId w:val="2"/>
        </w:numPr>
        <w:spacing w:line="360" w:lineRule="auto"/>
        <w:rPr>
          <w:sz w:val="28"/>
          <w:szCs w:val="28"/>
        </w:rPr>
      </w:pPr>
      <w:r>
        <w:rPr>
          <w:rFonts w:hint="eastAsia"/>
          <w:sz w:val="28"/>
          <w:szCs w:val="28"/>
        </w:rPr>
        <w:t>变更个人信息</w:t>
      </w:r>
    </w:p>
    <w:p>
      <w:pPr>
        <w:spacing w:line="360" w:lineRule="auto"/>
        <w:ind w:firstLine="560" w:firstLineChars="200"/>
        <w:rPr>
          <w:sz w:val="28"/>
          <w:szCs w:val="28"/>
        </w:rPr>
      </w:pPr>
      <w:r>
        <w:rPr>
          <w:rFonts w:hint="eastAsia"/>
          <w:sz w:val="28"/>
          <w:szCs w:val="28"/>
        </w:rPr>
        <w:t>在该环节可对个人信息进行修改。若是修改除评标专业外的信息，修改后点击【保存】即可。若是修改评标专业，则修改后需点击【提交审核】提交给相关管理部门进行审核。</w:t>
      </w:r>
    </w:p>
    <w:p>
      <w:pPr>
        <w:spacing w:line="360" w:lineRule="auto"/>
        <w:rPr>
          <w:sz w:val="28"/>
          <w:szCs w:val="28"/>
        </w:rPr>
      </w:pPr>
      <w:r>
        <w:drawing>
          <wp:inline distT="0" distB="0" distL="114300" distR="114300">
            <wp:extent cx="5264785" cy="2131695"/>
            <wp:effectExtent l="0" t="0" r="1206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64785" cy="2131695"/>
                    </a:xfrm>
                    <a:prstGeom prst="rect">
                      <a:avLst/>
                    </a:prstGeom>
                    <a:noFill/>
                    <a:ln>
                      <a:noFill/>
                    </a:ln>
                  </pic:spPr>
                </pic:pic>
              </a:graphicData>
            </a:graphic>
          </wp:inline>
        </w:drawing>
      </w:r>
    </w:p>
    <w:p>
      <w:pPr>
        <w:spacing w:line="360" w:lineRule="auto"/>
        <w:outlineLvl w:val="2"/>
        <w:rPr>
          <w:rFonts w:ascii="宋体" w:hAnsi="宋体" w:eastAsia="宋体" w:cs="宋体"/>
          <w:sz w:val="28"/>
          <w:szCs w:val="28"/>
        </w:rPr>
      </w:pPr>
      <w:bookmarkStart w:id="4" w:name="_Toc2635"/>
      <w:r>
        <w:rPr>
          <w:rFonts w:ascii="宋体" w:hAnsi="宋体" w:eastAsia="宋体" w:cs="宋体"/>
          <w:sz w:val="28"/>
          <w:szCs w:val="28"/>
        </w:rPr>
        <w:t>2.3</w:t>
      </w:r>
      <w:r>
        <w:rPr>
          <w:rFonts w:hint="eastAsia" w:ascii="宋体" w:hAnsi="宋体" w:eastAsia="宋体" w:cs="宋体"/>
          <w:sz w:val="28"/>
          <w:szCs w:val="28"/>
        </w:rPr>
        <w:t xml:space="preserve"> 培训学习</w:t>
      </w:r>
      <w:bookmarkEnd w:id="4"/>
    </w:p>
    <w:p>
      <w:pPr>
        <w:spacing w:line="360" w:lineRule="auto"/>
        <w:rPr>
          <w:rFonts w:ascii="宋体" w:hAnsi="宋体" w:eastAsia="宋体" w:cs="宋体"/>
          <w:sz w:val="28"/>
          <w:szCs w:val="28"/>
        </w:rPr>
      </w:pPr>
      <w:r>
        <w:rPr>
          <w:rFonts w:hint="eastAsia" w:ascii="宋体" w:hAnsi="宋体" w:eastAsia="宋体" w:cs="宋体"/>
          <w:sz w:val="28"/>
          <w:szCs w:val="28"/>
        </w:rPr>
        <w:t>在该环节可以下载学习资料，在线考试，培训报名。</w:t>
      </w:r>
    </w:p>
    <w:p>
      <w:pPr>
        <w:spacing w:line="360" w:lineRule="auto"/>
        <w:rPr>
          <w:rFonts w:ascii="宋体" w:hAnsi="宋体" w:eastAsia="宋体" w:cs="宋体"/>
          <w:sz w:val="28"/>
          <w:szCs w:val="28"/>
        </w:rPr>
      </w:pPr>
      <w:r>
        <w:drawing>
          <wp:inline distT="0" distB="0" distL="114300" distR="114300">
            <wp:extent cx="5273675" cy="1155700"/>
            <wp:effectExtent l="0" t="0" r="31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3675" cy="1155700"/>
                    </a:xfrm>
                    <a:prstGeom prst="rect">
                      <a:avLst/>
                    </a:prstGeom>
                    <a:noFill/>
                    <a:ln>
                      <a:noFill/>
                    </a:ln>
                  </pic:spPr>
                </pic:pic>
              </a:graphicData>
            </a:graphic>
          </wp:inline>
        </w:drawing>
      </w:r>
    </w:p>
    <w:p>
      <w:pPr>
        <w:rPr>
          <w:sz w:val="24"/>
          <w:szCs w:val="24"/>
        </w:rPr>
      </w:pP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9264" behindDoc="0" locked="0" layoutInCell="1" allowOverlap="1">
          <wp:simplePos x="0" y="0"/>
          <wp:positionH relativeFrom="column">
            <wp:posOffset>-1156335</wp:posOffset>
          </wp:positionH>
          <wp:positionV relativeFrom="paragraph">
            <wp:posOffset>-513080</wp:posOffset>
          </wp:positionV>
          <wp:extent cx="7611745" cy="668655"/>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7528" cy="67362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31337"/>
    <w:multiLevelType w:val="singleLevel"/>
    <w:tmpl w:val="FE131337"/>
    <w:lvl w:ilvl="0" w:tentative="0">
      <w:start w:val="1"/>
      <w:numFmt w:val="decimal"/>
      <w:suff w:val="nothing"/>
      <w:lvlText w:val="（%1）"/>
      <w:lvlJc w:val="left"/>
    </w:lvl>
  </w:abstractNum>
  <w:abstractNum w:abstractNumId="1">
    <w:nsid w:val="2527C5A0"/>
    <w:multiLevelType w:val="singleLevel"/>
    <w:tmpl w:val="2527C5A0"/>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rsids>
    <w:rsidRoot w:val="00E7431F"/>
    <w:rsid w:val="00013CD9"/>
    <w:rsid w:val="00090C54"/>
    <w:rsid w:val="0014178D"/>
    <w:rsid w:val="001724D8"/>
    <w:rsid w:val="001752E5"/>
    <w:rsid w:val="001D2C5A"/>
    <w:rsid w:val="001D5FA0"/>
    <w:rsid w:val="001E015B"/>
    <w:rsid w:val="001E28FA"/>
    <w:rsid w:val="001E6E8B"/>
    <w:rsid w:val="001F1707"/>
    <w:rsid w:val="0024466A"/>
    <w:rsid w:val="00254256"/>
    <w:rsid w:val="002E5191"/>
    <w:rsid w:val="0030680D"/>
    <w:rsid w:val="00314840"/>
    <w:rsid w:val="003A1B0D"/>
    <w:rsid w:val="003D6E98"/>
    <w:rsid w:val="00477C4A"/>
    <w:rsid w:val="004A79F9"/>
    <w:rsid w:val="00502561"/>
    <w:rsid w:val="005C0175"/>
    <w:rsid w:val="005D56A0"/>
    <w:rsid w:val="00632153"/>
    <w:rsid w:val="00682D3C"/>
    <w:rsid w:val="006D588E"/>
    <w:rsid w:val="006E5C83"/>
    <w:rsid w:val="0073565B"/>
    <w:rsid w:val="00754ECE"/>
    <w:rsid w:val="007D1EDA"/>
    <w:rsid w:val="007E2B51"/>
    <w:rsid w:val="00814928"/>
    <w:rsid w:val="00853448"/>
    <w:rsid w:val="00913E04"/>
    <w:rsid w:val="0092218A"/>
    <w:rsid w:val="009E5AA4"/>
    <w:rsid w:val="009F298D"/>
    <w:rsid w:val="00A46F8C"/>
    <w:rsid w:val="00A54256"/>
    <w:rsid w:val="00B052F9"/>
    <w:rsid w:val="00BC3BEA"/>
    <w:rsid w:val="00C53B54"/>
    <w:rsid w:val="00C60B77"/>
    <w:rsid w:val="00CA7736"/>
    <w:rsid w:val="00CD097B"/>
    <w:rsid w:val="00D003E4"/>
    <w:rsid w:val="00DA4114"/>
    <w:rsid w:val="00DB3402"/>
    <w:rsid w:val="00DD4DA0"/>
    <w:rsid w:val="00E7431F"/>
    <w:rsid w:val="00FA6639"/>
    <w:rsid w:val="00FC4000"/>
    <w:rsid w:val="00FC40AA"/>
    <w:rsid w:val="00FD3E49"/>
    <w:rsid w:val="00FF660E"/>
    <w:rsid w:val="0EE87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39"/>
  </w:style>
  <w:style w:type="character" w:styleId="8">
    <w:name w:val="Hyperlink"/>
    <w:basedOn w:val="7"/>
    <w:unhideWhenUsed/>
    <w:qFormat/>
    <w:uiPriority w:val="99"/>
    <w:rPr>
      <w:color w:val="0000FF"/>
      <w:u w:val="single"/>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character" w:customStyle="1" w:styleId="11">
    <w:name w:val="标题 1 字符"/>
    <w:basedOn w:val="7"/>
    <w:link w:val="2"/>
    <w:qFormat/>
    <w:uiPriority w:val="9"/>
    <w:rPr>
      <w:b/>
      <w:bCs/>
      <w:kern w:val="44"/>
      <w:sz w:val="44"/>
      <w:szCs w:val="44"/>
    </w:rPr>
  </w:style>
  <w:style w:type="character" w:customStyle="1" w:styleId="12">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206</Words>
  <Characters>1180</Characters>
  <Lines>9</Lines>
  <Paragraphs>2</Paragraphs>
  <TotalTime>0</TotalTime>
  <ScaleCrop>false</ScaleCrop>
  <LinksUpToDate>false</LinksUpToDate>
  <CharactersWithSpaces>1384</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2022-05-05T06:13:00Z</dcterms:created>
  <dc:creator>伟</dc:creator>
  <cp:lastModifiedBy>孙喆（内勤）</cp:lastModifiedBy>
  <dcterms:modified xsi:type="dcterms:W3CDTF">2022-06-06T01:50:50Z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