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default" w:ascii="Times New Roman" w:hAnsi="Times New Roman" w:eastAsia="方正小标宋_GBK" w:cs="Times New Roman"/>
          <w:sz w:val="44"/>
          <w:szCs w:val="44"/>
          <w:lang w:val="en-US" w:eastAsia="zh-CN"/>
        </w:rPr>
        <w:t>2023</w:t>
      </w:r>
      <w:r>
        <w:rPr>
          <w:rFonts w:hint="eastAsia" w:ascii="方正小标宋_GBK" w:hAnsi="方正小标宋_GBK" w:eastAsia="方正小标宋_GBK" w:cs="方正小标宋_GBK"/>
          <w:sz w:val="44"/>
          <w:szCs w:val="44"/>
          <w:lang w:val="en-US" w:eastAsia="zh-CN"/>
        </w:rPr>
        <w:t>年云南省政府信息公开工作年度报告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eastAsia="zh-CN"/>
        </w:rPr>
      </w:pPr>
      <w:r>
        <w:rPr>
          <w:rFonts w:hint="eastAsia" w:ascii="Times New Roman" w:hAnsi="Times New Roman" w:eastAsia="方正仿宋_GBK" w:cs="Times New Roman"/>
          <w:b w:val="0"/>
          <w:bCs w:val="0"/>
          <w:sz w:val="32"/>
          <w:szCs w:val="32"/>
          <w:u w:val="none"/>
          <w:lang w:eastAsia="zh-CN"/>
        </w:rPr>
        <w:t>本报告根据《中华人民共和国政府信息公开条例》和《国务院办公厅政府信息与政务公开办公室关于印发〈中华人民共和国政府信息公开工作年度报告格式〉的通知》（国办公开办函〔2021〕30号）有关要求编制。报告汇总全省数据，统计期限为202</w:t>
      </w:r>
      <w:r>
        <w:rPr>
          <w:rFonts w:hint="eastAsia" w:ascii="Times New Roman" w:hAnsi="Times New Roman" w:eastAsia="方正仿宋_GBK" w:cs="Times New Roman"/>
          <w:b w:val="0"/>
          <w:bCs w:val="0"/>
          <w:sz w:val="32"/>
          <w:szCs w:val="32"/>
          <w:u w:val="none"/>
          <w:lang w:val="en-US" w:eastAsia="zh-CN"/>
        </w:rPr>
        <w:t>3</w:t>
      </w:r>
      <w:r>
        <w:rPr>
          <w:rFonts w:hint="eastAsia" w:ascii="Times New Roman" w:hAnsi="Times New Roman" w:eastAsia="方正仿宋_GBK" w:cs="Times New Roman"/>
          <w:b w:val="0"/>
          <w:bCs w:val="0"/>
          <w:sz w:val="32"/>
          <w:szCs w:val="32"/>
          <w:u w:val="none"/>
          <w:lang w:eastAsia="zh-CN"/>
        </w:rPr>
        <w:t>年1月1日至202</w:t>
      </w:r>
      <w:r>
        <w:rPr>
          <w:rFonts w:hint="eastAsia" w:ascii="Times New Roman" w:hAnsi="Times New Roman" w:eastAsia="方正仿宋_GBK" w:cs="Times New Roman"/>
          <w:b w:val="0"/>
          <w:bCs w:val="0"/>
          <w:sz w:val="32"/>
          <w:szCs w:val="32"/>
          <w:u w:val="none"/>
          <w:lang w:val="en-US" w:eastAsia="zh-CN"/>
        </w:rPr>
        <w:t>3</w:t>
      </w:r>
      <w:r>
        <w:rPr>
          <w:rFonts w:hint="eastAsia" w:ascii="Times New Roman" w:hAnsi="Times New Roman" w:eastAsia="方正仿宋_GBK" w:cs="Times New Roman"/>
          <w:b w:val="0"/>
          <w:bCs w:val="0"/>
          <w:sz w:val="32"/>
          <w:szCs w:val="32"/>
          <w:u w:val="none"/>
          <w:lang w:eastAsia="zh-CN"/>
        </w:rPr>
        <w:t>年12月31日</w:t>
      </w:r>
      <w:r>
        <w:rPr>
          <w:rFonts w:hint="eastAsia" w:ascii="Times New Roman" w:hAnsi="Times New Roman" w:eastAsia="方正仿宋_GBK"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方正黑体_GBK" w:hAnsi="方正黑体_GBK" w:eastAsia="方正黑体_GBK" w:cs="方正黑体_GBK"/>
          <w:sz w:val="32"/>
          <w:szCs w:val="32"/>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2023年</w:t>
      </w:r>
      <w:r>
        <w:rPr>
          <w:rFonts w:hint="eastAsia" w:ascii="方正仿宋_GBK" w:hAnsi="方正仿宋_GBK" w:eastAsia="方正仿宋_GBK" w:cs="方正仿宋_GBK"/>
          <w:sz w:val="32"/>
          <w:szCs w:val="32"/>
          <w:lang w:val="en-US" w:eastAsia="zh-CN"/>
        </w:rPr>
        <w:t>，云南省坚持以习近平新时代中国特色社会主义思想为指导，深入学习贯彻党的二十大精神和习近平总书记考察云南重要讲话精神，紧扣省委、省政府中心工作，围绕企业群众所需所盼，进一步转变政务公开职能、拓展政务公开渠道、创新政务公开方式、提升政务公开质效，切实以公开促落实、强监管、优环境，为全省经济社会高质量跨越式发展提供坚实服务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alibri" w:hAnsi="Calibri" w:eastAsia="宋体" w:cs="Times New Roman"/>
          <w:lang w:val="en-US" w:eastAsia="zh-CN"/>
        </w:rPr>
      </w:pPr>
      <w:r>
        <w:rPr>
          <w:rFonts w:hint="eastAsia" w:ascii="方正楷体_GBK" w:hAnsi="方正楷体_GBK" w:eastAsia="方正楷体_GBK" w:cs="方正楷体_GBK"/>
          <w:b w:val="0"/>
          <w:bCs w:val="0"/>
          <w:sz w:val="32"/>
          <w:szCs w:val="32"/>
          <w:lang w:val="en-US" w:eastAsia="zh-CN"/>
        </w:rPr>
        <w:t>（一）主动公开方面。</w:t>
      </w:r>
      <w:r>
        <w:rPr>
          <w:rFonts w:hint="eastAsia" w:ascii="方正仿宋_GBK" w:hAnsi="方正仿宋_GBK" w:eastAsia="方正仿宋_GBK" w:cs="方正仿宋_GBK"/>
          <w:sz w:val="32"/>
          <w:szCs w:val="32"/>
          <w:lang w:val="en-US" w:eastAsia="zh-CN"/>
        </w:rPr>
        <w:t>各级行政机关锚定“</w:t>
      </w:r>
      <w:r>
        <w:rPr>
          <w:rFonts w:hint="default" w:ascii="Times New Roman" w:hAnsi="Times New Roman" w:eastAsia="方正仿宋_GBK" w:cs="Times New Roman"/>
          <w:sz w:val="32"/>
          <w:szCs w:val="32"/>
          <w:lang w:val="en-US" w:eastAsia="zh-CN"/>
        </w:rPr>
        <w:t>3815</w:t>
      </w:r>
      <w:r>
        <w:rPr>
          <w:rFonts w:hint="eastAsia" w:ascii="方正仿宋_GBK" w:hAnsi="方正仿宋_GBK" w:eastAsia="方正仿宋_GBK" w:cs="方正仿宋_GBK"/>
          <w:sz w:val="32"/>
          <w:szCs w:val="32"/>
          <w:lang w:val="en-US" w:eastAsia="zh-CN"/>
        </w:rPr>
        <w:t>”战略发展目标，围绕稳经济、增动能、惠民生等方面，持续细化实化深化重点领域信息公开，立足部门职能职责编制重大行政决策标准及目录，全面推动省、州（市）、县、乡四级政府重大行政决策公开。</w:t>
      </w:r>
      <w:r>
        <w:rPr>
          <w:rFonts w:hint="default" w:ascii="Times New Roman" w:hAnsi="Times New Roman" w:eastAsia="方正仿宋_GBK" w:cs="Times New Roman"/>
          <w:sz w:val="32"/>
          <w:szCs w:val="32"/>
          <w:lang w:val="en-US" w:eastAsia="zh-CN"/>
        </w:rPr>
        <w:t>印发《云南省行政机关政策解读工作办法》，全流程规范政策解读工作，强化实质性、形象化、通俗化解读，确保涉及面广、关注度高、专业性强的政策文件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应解读尽解读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深入推进基层政务公开标准化规范化建设，</w:t>
      </w:r>
      <w:r>
        <w:rPr>
          <w:rFonts w:hint="eastAsia" w:ascii="Times New Roman" w:hAnsi="Times New Roman" w:eastAsia="方正仿宋_GBK" w:cs="Times New Roman"/>
          <w:sz w:val="32"/>
          <w:szCs w:val="32"/>
          <w:u w:val="none"/>
          <w:lang w:val="en-US" w:eastAsia="zh-CN"/>
        </w:rPr>
        <w:t>州（市）</w:t>
      </w:r>
      <w:r>
        <w:rPr>
          <w:rFonts w:hint="eastAsia" w:ascii="Times New Roman" w:hAnsi="Times New Roman" w:eastAsia="方正仿宋_GBK" w:cs="Times New Roman"/>
          <w:sz w:val="32"/>
          <w:szCs w:val="32"/>
          <w:lang w:val="en-US" w:eastAsia="zh-CN"/>
        </w:rPr>
        <w:t>政府进一步调整完善政府信息公开基本目录，县、乡两级政府编制新增领域基层政务公开事项标准目录，并按照目录精准、精细、规范公开有关政府信息。</w:t>
      </w:r>
      <w:r>
        <w:rPr>
          <w:rFonts w:hint="default" w:ascii="Times New Roman" w:hAnsi="Times New Roman" w:eastAsia="方正仿宋_GBK" w:cs="Times New Roman"/>
          <w:sz w:val="32"/>
          <w:szCs w:val="32"/>
          <w:lang w:val="en-US" w:eastAsia="zh-CN"/>
        </w:rPr>
        <w:t>有序推进公共企事业单位信息公开，编制</w:t>
      </w:r>
      <w:r>
        <w:rPr>
          <w:rFonts w:hint="eastAsia" w:ascii="Times New Roman" w:hAnsi="Times New Roman" w:eastAsia="方正仿宋_GBK" w:cs="Times New Roman"/>
          <w:sz w:val="32"/>
          <w:szCs w:val="32"/>
          <w:lang w:val="en-US" w:eastAsia="zh-CN"/>
        </w:rPr>
        <w:t>各级</w:t>
      </w:r>
      <w:r>
        <w:rPr>
          <w:rFonts w:hint="default" w:ascii="Times New Roman" w:hAnsi="Times New Roman" w:eastAsia="方正仿宋_GBK" w:cs="Times New Roman"/>
          <w:sz w:val="32"/>
          <w:szCs w:val="32"/>
          <w:lang w:val="en-US" w:eastAsia="zh-CN"/>
        </w:rPr>
        <w:t>卫生健康、供水、供气、环境保护、公共交通等领域公共企事业单位信息公开适用主体清单</w:t>
      </w:r>
      <w:r>
        <w:rPr>
          <w:rFonts w:hint="eastAsia" w:ascii="Times New Roman" w:hAnsi="Times New Roman" w:eastAsia="方正仿宋_GBK" w:cs="Times New Roman"/>
          <w:sz w:val="32"/>
          <w:szCs w:val="32"/>
          <w:lang w:val="en-US" w:eastAsia="zh-CN"/>
        </w:rPr>
        <w:t>及公开目录</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督促指导相关单位依法依规公开各类信息。高效整合政府系统各类意见征集、留言渠道，通过“政府开放日”、“政务公开日”等形式有效扩大公众参与，增强政民互动力度。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（二）依申请公开方面。</w:t>
      </w:r>
      <w:r>
        <w:rPr>
          <w:rFonts w:hint="eastAsia" w:ascii="Times New Roman" w:hAnsi="Times New Roman" w:eastAsia="方正仿宋_GBK" w:cs="Times New Roman"/>
          <w:sz w:val="32"/>
          <w:szCs w:val="32"/>
          <w:lang w:val="en-US" w:eastAsia="zh-CN"/>
        </w:rPr>
        <w:t>首次编印《云南省政府信息公开申请案例汇编》，发挥56个典型案例的</w:t>
      </w:r>
      <w:r>
        <w:rPr>
          <w:rFonts w:hint="default" w:ascii="Times New Roman" w:hAnsi="Times New Roman" w:eastAsia="方正仿宋_GBK" w:cs="Times New Roman"/>
          <w:sz w:val="32"/>
          <w:szCs w:val="32"/>
          <w:lang w:val="en-US" w:eastAsia="zh-CN"/>
        </w:rPr>
        <w:t>示范</w:t>
      </w:r>
      <w:r>
        <w:rPr>
          <w:rFonts w:hint="eastAsia" w:ascii="Times New Roman" w:hAnsi="Times New Roman" w:eastAsia="方正仿宋_GBK" w:cs="Times New Roman"/>
          <w:sz w:val="32"/>
          <w:szCs w:val="32"/>
          <w:lang w:val="en-US" w:eastAsia="zh-CN"/>
        </w:rPr>
        <w:t>引领</w:t>
      </w:r>
      <w:r>
        <w:rPr>
          <w:rFonts w:hint="default" w:ascii="Times New Roman" w:hAnsi="Times New Roman" w:eastAsia="方正仿宋_GBK" w:cs="Times New Roman"/>
          <w:sz w:val="32"/>
          <w:szCs w:val="32"/>
          <w:lang w:val="en-US" w:eastAsia="zh-CN"/>
        </w:rPr>
        <w:t>作用。</w:t>
      </w:r>
      <w:r>
        <w:rPr>
          <w:rFonts w:hint="eastAsia" w:ascii="Times New Roman" w:hAnsi="Times New Roman" w:eastAsia="方正仿宋_GBK" w:cs="Times New Roman"/>
          <w:sz w:val="32"/>
          <w:szCs w:val="32"/>
          <w:lang w:val="en-US" w:eastAsia="zh-CN"/>
        </w:rPr>
        <w:t>升级改造“</w:t>
      </w:r>
      <w:r>
        <w:rPr>
          <w:rFonts w:hint="default" w:ascii="Times New Roman" w:hAnsi="Times New Roman" w:eastAsia="方正仿宋_GBK" w:cs="Times New Roman"/>
          <w:sz w:val="32"/>
          <w:szCs w:val="32"/>
          <w:lang w:val="en-US" w:eastAsia="zh-CN"/>
        </w:rPr>
        <w:t>云南省政府依申请公开平台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覆盖至省、州（市）、县（市、区）的784个行政机关。落实</w:t>
      </w:r>
      <w:r>
        <w:rPr>
          <w:rFonts w:hint="default" w:ascii="Times New Roman" w:hAnsi="Times New Roman" w:eastAsia="方正仿宋_GBK" w:cs="Times New Roman"/>
          <w:sz w:val="32"/>
          <w:szCs w:val="32"/>
          <w:lang w:val="en-US" w:eastAsia="zh-CN"/>
        </w:rPr>
        <w:t>信息处理费</w:t>
      </w:r>
      <w:r>
        <w:rPr>
          <w:rFonts w:hint="eastAsia" w:ascii="Times New Roman" w:hAnsi="Times New Roman" w:eastAsia="方正仿宋_GBK" w:cs="Times New Roman"/>
          <w:sz w:val="32"/>
          <w:szCs w:val="32"/>
          <w:lang w:val="en-US" w:eastAsia="zh-CN"/>
        </w:rPr>
        <w:t>收费制度</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开出全省第一单收费通知，探索可推广、可复制的模式，遏制依申请公开权利滥用。建立答复书抄送制度，将便民要求落到实处。2023年，全省各级行政机关累计受理政府信息公开申请8146件，</w:t>
      </w:r>
      <w:r>
        <w:rPr>
          <w:rFonts w:hint="default" w:ascii="Times New Roman" w:hAnsi="Times New Roman" w:eastAsia="方正仿宋_GBK" w:cs="Times New Roman"/>
          <w:sz w:val="32"/>
          <w:szCs w:val="32"/>
          <w:lang w:val="en-US" w:eastAsia="zh-CN"/>
        </w:rPr>
        <w:t>同比增长13.74%</w:t>
      </w:r>
      <w:r>
        <w:rPr>
          <w:rFonts w:hint="eastAsia" w:ascii="Times New Roman" w:hAnsi="Times New Roman" w:eastAsia="方正仿宋_GBK" w:cs="Times New Roman"/>
          <w:sz w:val="32"/>
          <w:szCs w:val="32"/>
          <w:lang w:val="en-US" w:eastAsia="zh-CN"/>
        </w:rPr>
        <w:t>，依法依规答复7974件，办结率为97.89%，其中，办理结果公开4587件，占比为57.52%，保障了公众的合理信息需求。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100" w:firstLine="640" w:firstLineChars="200"/>
        <w:jc w:val="both"/>
        <w:textAlignment w:val="auto"/>
        <w:outlineLvl w:val="9"/>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（三）政府信息管理方面。</w:t>
      </w:r>
      <w:r>
        <w:rPr>
          <w:rFonts w:hint="default" w:ascii="Times New Roman" w:hAnsi="Times New Roman" w:eastAsia="方正仿宋_GBK" w:cs="Times New Roman"/>
          <w:kern w:val="2"/>
          <w:sz w:val="32"/>
          <w:szCs w:val="32"/>
          <w:lang w:val="en-US" w:eastAsia="zh-CN" w:bidi="ar-SA"/>
        </w:rPr>
        <w:t>持续巩固政府规章和行政规范性文件集中公开成果</w:t>
      </w:r>
      <w:r>
        <w:rPr>
          <w:rFonts w:hint="eastAsia" w:ascii="Times New Roman" w:hAnsi="Times New Roman" w:eastAsia="方正仿宋_GBK" w:cs="Times New Roman"/>
          <w:kern w:val="2"/>
          <w:sz w:val="32"/>
          <w:szCs w:val="32"/>
          <w:lang w:val="en-US" w:eastAsia="zh-CN" w:bidi="ar-SA"/>
        </w:rPr>
        <w:t>，进一步推进政策文件互联互通工作，动态完善“云南省规章库”“云南省行政规范性文件库”“云南省政策文件库”，全省7900余件政策文件实现集纳发布、一站式查阅。各级行政机关严格落实</w:t>
      </w:r>
      <w:r>
        <w:rPr>
          <w:rFonts w:hint="default" w:ascii="Times New Roman" w:hAnsi="Times New Roman" w:eastAsia="方正仿宋_GBK" w:cs="Times New Roman"/>
          <w:kern w:val="2"/>
          <w:sz w:val="32"/>
          <w:szCs w:val="32"/>
          <w:lang w:val="en-US" w:eastAsia="zh-CN" w:bidi="ar-SA"/>
        </w:rPr>
        <w:t>公文公开属性源头认定，健全完善政府信息公开保密审查制度，制定不得公开政府信息清单，</w:t>
      </w:r>
      <w:r>
        <w:rPr>
          <w:rFonts w:hint="eastAsia" w:ascii="Times New Roman" w:hAnsi="Times New Roman" w:eastAsia="方正仿宋_GBK" w:cs="Times New Roman"/>
          <w:kern w:val="2"/>
          <w:sz w:val="32"/>
          <w:szCs w:val="32"/>
          <w:lang w:val="en-US" w:eastAsia="zh-CN" w:bidi="ar-SA"/>
        </w:rPr>
        <w:t>强化政务公开全生命周期安全保密管理。全年发行《云南省人民政府公报》24期，刊载文件资料307件，免费赠阅约64.4万份；16个州（市）按月发行州（市）人民政府公报193期，刊载文件资料1374份，免费赠阅约36万份。优化《云南省人民政府公报》微信小程序、支付宝小程序，制作宣传小视频，各地各部门结合自身实际积极宣传推广《云南省人民政府公报》，形成上下联动、灵活高效的宣传氛围，电子版用户数和浏览量保持稳定增长态势，科学化、信息化、便民化水平持续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 w:val="0"/>
          <w:bCs w:val="0"/>
          <w:sz w:val="32"/>
          <w:szCs w:val="32"/>
          <w:lang w:val="en-US" w:eastAsia="zh-CN"/>
        </w:rPr>
        <w:t>（四）平台建设方面。</w:t>
      </w:r>
      <w:r>
        <w:rPr>
          <w:rFonts w:hint="eastAsia" w:ascii="Times New Roman" w:hAnsi="Times New Roman" w:eastAsia="方正仿宋_GBK" w:cs="Times New Roman"/>
          <w:sz w:val="32"/>
          <w:szCs w:val="32"/>
          <w:lang w:val="en-US" w:eastAsia="zh-CN"/>
        </w:rPr>
        <w:t>优化提升云南省人民政府门户网站“看、办、问”三大功能，部署“</w:t>
      </w:r>
      <w:r>
        <w:rPr>
          <w:rFonts w:hint="default" w:ascii="Times New Roman" w:hAnsi="Times New Roman" w:eastAsia="方正仿宋_GBK" w:cs="Times New Roman"/>
          <w:sz w:val="32"/>
          <w:szCs w:val="32"/>
          <w:lang w:val="en-US" w:eastAsia="zh-CN"/>
        </w:rPr>
        <w:t>个人用户中心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推动与云南政务服务网数据共用共享、服务深度融合，</w:t>
      </w:r>
      <w:r>
        <w:rPr>
          <w:rFonts w:hint="eastAsia" w:ascii="Times New Roman" w:hAnsi="Times New Roman" w:eastAsia="方正仿宋_GBK" w:cs="Times New Roman"/>
          <w:color w:val="auto"/>
          <w:sz w:val="32"/>
          <w:szCs w:val="32"/>
          <w:lang w:val="en-US" w:eastAsia="zh-CN"/>
        </w:rPr>
        <w:t>企业和群众办事更方便、更高效</w:t>
      </w:r>
      <w:r>
        <w:rPr>
          <w:rFonts w:hint="default" w:ascii="Times New Roman" w:hAnsi="Times New Roman" w:eastAsia="方正仿宋_GBK" w:cs="Times New Roman"/>
          <w:color w:val="auto"/>
          <w:sz w:val="32"/>
          <w:szCs w:val="32"/>
          <w:lang w:val="en-US" w:eastAsia="zh-CN"/>
        </w:rPr>
        <w:t>。持续推进全省统一的12345热线办理系统和知识库建设，进一步深化与110报警服务台、12388纪检监察举报电话联动对接，完成与中国政府网留言办理系统升级对接以及与省12366纳税服务热线的知识库共享对接，不断提升热线联动质效。</w:t>
      </w:r>
      <w:r>
        <w:rPr>
          <w:rFonts w:hint="eastAsia" w:ascii="Times New Roman" w:hAnsi="Times New Roman" w:eastAsia="方正仿宋_GBK" w:cs="Times New Roman"/>
          <w:color w:val="auto"/>
          <w:sz w:val="32"/>
          <w:szCs w:val="32"/>
          <w:lang w:val="en-US" w:eastAsia="zh-CN"/>
        </w:rPr>
        <w:t>加强对全省政府系统政务新媒体账号登记备案管理，提升政府系统政务新媒体发布信息的及时性、准确性。上线“云南政策通”微信小程序，推动政务公开服务向移动端延伸。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eastAsia" w:ascii="方正楷体_GBK" w:hAnsi="方正楷体_GBK" w:eastAsia="方正楷体_GBK" w:cs="方正楷体_GBK"/>
          <w:b w:val="0"/>
          <w:bCs w:val="0"/>
          <w:color w:val="auto"/>
          <w:sz w:val="32"/>
          <w:szCs w:val="32"/>
          <w:lang w:val="en-US" w:eastAsia="zh-CN"/>
        </w:rPr>
        <w:t>（五）监督保障方面。</w:t>
      </w:r>
      <w:r>
        <w:rPr>
          <w:rFonts w:hint="eastAsia" w:ascii="Times New Roman" w:hAnsi="Times New Roman" w:eastAsia="方正仿宋_GBK" w:cs="Times New Roman"/>
          <w:color w:val="auto"/>
          <w:sz w:val="32"/>
          <w:szCs w:val="32"/>
          <w:lang w:val="en-US" w:eastAsia="zh-CN"/>
        </w:rPr>
        <w:t>坚持问题导向，认真完成国务院办公厅2022年度政务公开第三方评估发现问题整改，指导督促各地各部门完成省级2022年度政务公开第三方评估发现问题整改，切实以整改查漏洞、补短板、强弱项、促提升。</w:t>
      </w:r>
      <w:r>
        <w:rPr>
          <w:rFonts w:hint="default" w:ascii="Times New Roman" w:hAnsi="Times New Roman" w:eastAsia="方正仿宋_GBK" w:cs="Times New Roman"/>
          <w:color w:val="auto"/>
          <w:kern w:val="2"/>
          <w:sz w:val="32"/>
          <w:szCs w:val="32"/>
          <w:lang w:val="en-US" w:eastAsia="zh-CN" w:bidi="ar-SA"/>
        </w:rPr>
        <w:t>常态化规范化</w:t>
      </w:r>
      <w:r>
        <w:rPr>
          <w:rFonts w:hint="eastAsia" w:ascii="Times New Roman" w:hAnsi="Times New Roman" w:eastAsia="方正仿宋_GBK" w:cs="Times New Roman"/>
          <w:color w:val="auto"/>
          <w:kern w:val="2"/>
          <w:sz w:val="32"/>
          <w:szCs w:val="32"/>
          <w:lang w:val="en-US" w:eastAsia="zh-CN" w:bidi="ar-SA"/>
        </w:rPr>
        <w:t>推进</w:t>
      </w:r>
      <w:r>
        <w:rPr>
          <w:rFonts w:hint="default" w:ascii="Times New Roman" w:hAnsi="Times New Roman" w:eastAsia="方正仿宋_GBK" w:cs="Times New Roman"/>
          <w:color w:val="auto"/>
          <w:kern w:val="2"/>
          <w:sz w:val="32"/>
          <w:szCs w:val="32"/>
          <w:lang w:val="en-US" w:eastAsia="zh-CN" w:bidi="ar-SA"/>
        </w:rPr>
        <w:t>全省政府网站和政府系统政务新媒体内容检查</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安全监测和网络安全专项治理</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对16个州</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市</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政府门户网站开展远程渗透测试，对省政府门户网站开展现场网络安全风险评估和高级持续性威胁检测</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审核关停不具备运维能力的政府网站，督促有关政府网站整改支持IPv6不达标问题。</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Calibri" w:hAnsi="Calibri" w:eastAsia="宋体" w:cs="Times New Roman"/>
          <w:lang w:val="en-US" w:eastAsia="zh-CN"/>
        </w:rPr>
      </w:pPr>
      <w:r>
        <w:rPr>
          <w:rFonts w:hint="default" w:ascii="Times New Roman" w:hAnsi="Times New Roman" w:eastAsia="方正仿宋_GBK" w:cs="Times New Roman"/>
          <w:color w:val="auto"/>
          <w:kern w:val="2"/>
          <w:sz w:val="32"/>
          <w:szCs w:val="32"/>
          <w:lang w:val="en-US" w:eastAsia="zh-CN" w:bidi="ar-SA"/>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40"/>
          <w:lang w:eastAsia="zh-CN"/>
        </w:rPr>
      </w:pPr>
      <w:r>
        <w:rPr>
          <w:rFonts w:hint="eastAsia" w:ascii="方正黑体_GBK" w:hAnsi="方正黑体_GBK" w:eastAsia="方正黑体_GBK" w:cs="方正黑体_GBK"/>
          <w:sz w:val="32"/>
          <w:szCs w:val="40"/>
          <w:lang w:eastAsia="zh-CN"/>
        </w:rPr>
        <w:t>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jc w:val="center"/>
              <w:rPr>
                <w:rFonts w:hint="default" w:ascii="Times New Roman" w:hAnsi="Times New Roman" w:eastAsia="宋体" w:cs="Times New Roman"/>
                <w:b w:val="0"/>
                <w:bCs w:val="0"/>
                <w:color w:val="auto"/>
                <w:szCs w:val="24"/>
                <w:lang w:val="en-US" w:eastAsia="zh-CN"/>
              </w:rPr>
            </w:pPr>
            <w:r>
              <w:rPr>
                <w:rFonts w:hint="eastAsia" w:ascii="Times New Roman" w:hAnsi="Times New Roman" w:cs="Times New Roman"/>
                <w:b w:val="0"/>
                <w:bCs w:val="0"/>
                <w:color w:val="auto"/>
                <w:sz w:val="24"/>
                <w:szCs w:val="24"/>
                <w:vertAlign w:val="baseline"/>
                <w:lang w:val="en-US" w:eastAsia="zh-CN"/>
              </w:rPr>
              <w:fldChar w:fldCharType="begin"/>
            </w:r>
            <w:r>
              <w:rPr>
                <w:rFonts w:hint="eastAsia" w:ascii="Times New Roman" w:hAnsi="Times New Roman" w:cs="Times New Roman"/>
                <w:b w:val="0"/>
                <w:bCs w:val="0"/>
                <w:color w:val="auto"/>
                <w:sz w:val="24"/>
                <w:szCs w:val="24"/>
                <w:vertAlign w:val="baseline"/>
                <w:lang w:val="en-US" w:eastAsia="zh-CN"/>
              </w:rPr>
              <w:instrText xml:space="preserve"> = sum(B3:B4) \* MERGEFORMAT </w:instrText>
            </w:r>
            <w:r>
              <w:rPr>
                <w:rFonts w:hint="eastAsia" w:ascii="Times New Roman" w:hAnsi="Times New Roman" w:cs="Times New Roman"/>
                <w:b w:val="0"/>
                <w:bCs w:val="0"/>
                <w:color w:val="auto"/>
                <w:sz w:val="24"/>
                <w:szCs w:val="24"/>
                <w:vertAlign w:val="baseline"/>
                <w:lang w:val="en-US" w:eastAsia="zh-CN"/>
              </w:rPr>
              <w:fldChar w:fldCharType="separate"/>
            </w:r>
            <w:r>
              <w:rPr>
                <w:rFonts w:hint="eastAsia" w:ascii="Times New Roman" w:hAnsi="Times New Roman" w:cs="Times New Roman"/>
                <w:b w:val="0"/>
                <w:bCs w:val="0"/>
                <w:color w:val="auto"/>
                <w:sz w:val="24"/>
                <w:szCs w:val="24"/>
                <w:vertAlign w:val="baseline"/>
                <w:lang w:val="en-US" w:eastAsia="zh-CN"/>
              </w:rPr>
              <w:t>13</w:t>
            </w:r>
            <w:r>
              <w:rPr>
                <w:rFonts w:hint="eastAsia" w:ascii="Times New Roman" w:hAnsi="Times New Roman" w:cs="Times New Roman"/>
                <w:b w:val="0"/>
                <w:bCs w:val="0"/>
                <w:color w:val="auto"/>
                <w:sz w:val="24"/>
                <w:szCs w:val="24"/>
                <w:vertAlign w:val="baseline"/>
                <w:lang w:val="en-US" w:eastAsia="zh-CN"/>
              </w:rPr>
              <w:fldChar w:fldCharType="end"/>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jc w:val="center"/>
              <w:rPr>
                <w:rFonts w:hint="default" w:ascii="Times New Roman" w:hAnsi="Times New Roman" w:eastAsia="宋体" w:cs="Times New Roman"/>
                <w:b w:val="0"/>
                <w:bCs w:val="0"/>
                <w:color w:val="auto"/>
                <w:szCs w:val="24"/>
                <w:lang w:val="en-US" w:eastAsia="zh-CN"/>
              </w:rPr>
            </w:pPr>
            <w:r>
              <w:rPr>
                <w:rFonts w:hint="eastAsia" w:ascii="Times New Roman" w:hAnsi="Times New Roman" w:cs="Times New Roman"/>
                <w:b w:val="0"/>
                <w:bCs w:val="0"/>
                <w:color w:val="auto"/>
                <w:sz w:val="24"/>
                <w:szCs w:val="24"/>
                <w:vertAlign w:val="baseline"/>
                <w:lang w:val="en-US" w:eastAsia="zh-CN"/>
              </w:rPr>
              <w:t>11</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jc w:val="center"/>
              <w:rPr>
                <w:rFonts w:hint="default" w:ascii="Times New Roman" w:hAnsi="Times New Roman" w:eastAsia="宋体" w:cs="Times New Roman"/>
                <w:b w:val="0"/>
                <w:bCs w:val="0"/>
                <w:color w:val="auto"/>
                <w:sz w:val="20"/>
                <w:szCs w:val="20"/>
                <w:lang w:val="en-US" w:eastAsia="zh-CN"/>
              </w:rPr>
            </w:pPr>
            <w:r>
              <w:rPr>
                <w:rFonts w:hint="eastAsia" w:ascii="Times New Roman" w:hAnsi="Times New Roman" w:cs="Times New Roman"/>
                <w:b w:val="0"/>
                <w:bCs w:val="0"/>
                <w:color w:val="auto"/>
                <w:sz w:val="24"/>
                <w:szCs w:val="24"/>
                <w:vertAlign w:val="baseline"/>
                <w:lang w:val="en-US" w:eastAsia="zh-CN"/>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jc w:val="center"/>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cs="Times New Roman"/>
                <w:b w:val="0"/>
                <w:bCs w:val="0"/>
                <w:color w:val="auto"/>
                <w:sz w:val="24"/>
                <w:szCs w:val="24"/>
                <w:vertAlign w:val="baseline"/>
                <w:lang w:val="en-US" w:eastAsia="zh-CN"/>
              </w:rPr>
              <w:fldChar w:fldCharType="begin"/>
            </w:r>
            <w:r>
              <w:rPr>
                <w:rFonts w:hint="eastAsia" w:ascii="Times New Roman" w:hAnsi="Times New Roman" w:cs="Times New Roman"/>
                <w:b w:val="0"/>
                <w:bCs w:val="0"/>
                <w:color w:val="auto"/>
                <w:sz w:val="24"/>
                <w:szCs w:val="24"/>
                <w:vertAlign w:val="baseline"/>
                <w:lang w:val="en-US" w:eastAsia="zh-CN"/>
              </w:rPr>
              <w:instrText xml:space="preserve"> = sum(E3:E4) \* MERGEFORMAT </w:instrText>
            </w:r>
            <w:r>
              <w:rPr>
                <w:rFonts w:hint="eastAsia" w:ascii="Times New Roman" w:hAnsi="Times New Roman" w:cs="Times New Roman"/>
                <w:b w:val="0"/>
                <w:bCs w:val="0"/>
                <w:color w:val="auto"/>
                <w:sz w:val="24"/>
                <w:szCs w:val="24"/>
                <w:vertAlign w:val="baseline"/>
                <w:lang w:val="en-US" w:eastAsia="zh-CN"/>
              </w:rPr>
              <w:fldChar w:fldCharType="separate"/>
            </w:r>
            <w:r>
              <w:rPr>
                <w:rFonts w:hint="eastAsia" w:ascii="Times New Roman" w:hAnsi="Times New Roman" w:cs="Times New Roman"/>
                <w:b w:val="0"/>
                <w:bCs w:val="0"/>
                <w:color w:val="auto"/>
                <w:sz w:val="24"/>
                <w:szCs w:val="24"/>
                <w:vertAlign w:val="baseline"/>
                <w:lang w:val="en-US" w:eastAsia="zh-CN"/>
              </w:rPr>
              <w:t>553</w:t>
            </w:r>
            <w:r>
              <w:rPr>
                <w:rFonts w:hint="eastAsia" w:ascii="Times New Roman" w:hAnsi="Times New Roman" w:cs="Times New Roman"/>
                <w:b w:val="0"/>
                <w:bCs w:val="0"/>
                <w:color w:val="auto"/>
                <w:sz w:val="24"/>
                <w:szCs w:val="24"/>
                <w:vertAlign w:val="baseline"/>
                <w:lang w:val="en-US" w:eastAsia="zh-CN"/>
              </w:rPr>
              <w:fldChar w:fldCharType="end"/>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jc w:val="center"/>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974</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jc w:val="center"/>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4375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b w:val="0"/>
                <w:bCs w:val="0"/>
                <w:color w:val="auto"/>
                <w:szCs w:val="24"/>
              </w:rPr>
            </w:pPr>
            <w:r>
              <w:rPr>
                <w:rFonts w:hint="eastAsia" w:ascii="宋体" w:hAnsi="宋体" w:eastAsia="宋体" w:cs="宋体"/>
                <w:b w:val="0"/>
                <w:bCs w:val="0"/>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b w:val="0"/>
                <w:bCs w:val="0"/>
                <w:color w:val="auto"/>
                <w:szCs w:val="24"/>
              </w:rPr>
            </w:pPr>
            <w:r>
              <w:rPr>
                <w:rFonts w:hint="eastAsia" w:ascii="宋体" w:hAnsi="宋体" w:eastAsia="宋体" w:cs="宋体"/>
                <w:b w:val="0"/>
                <w:bCs w:val="0"/>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Calibri" w:eastAsia="宋体" w:cs="Times New Roman"/>
                <w:b w:val="0"/>
                <w:bCs w:val="0"/>
                <w:color w:val="auto"/>
                <w:sz w:val="24"/>
                <w:szCs w:val="24"/>
                <w:lang w:val="en-US" w:eastAsia="zh-CN"/>
              </w:rPr>
            </w:pPr>
            <w:r>
              <w:rPr>
                <w:rFonts w:hint="eastAsia" w:ascii="Times New Roman" w:hAnsi="Times New Roman" w:cs="Times New Roman"/>
                <w:b w:val="0"/>
                <w:bCs w:val="0"/>
                <w:color w:val="auto"/>
                <w:sz w:val="24"/>
                <w:szCs w:val="24"/>
                <w:vertAlign w:val="baseline"/>
                <w:lang w:val="en-US" w:eastAsia="zh-CN"/>
              </w:rPr>
              <w:fldChar w:fldCharType="begin"/>
            </w:r>
            <w:r>
              <w:rPr>
                <w:rFonts w:hint="eastAsia" w:ascii="Times New Roman" w:hAnsi="Times New Roman" w:cs="Times New Roman"/>
                <w:b w:val="0"/>
                <w:bCs w:val="0"/>
                <w:color w:val="auto"/>
                <w:sz w:val="24"/>
                <w:szCs w:val="24"/>
                <w:vertAlign w:val="baseline"/>
                <w:lang w:val="en-US" w:eastAsia="zh-CN"/>
              </w:rPr>
              <w:instrText xml:space="preserve"> = sum(H3:H4) \* MERGEFORMAT </w:instrText>
            </w:r>
            <w:r>
              <w:rPr>
                <w:rFonts w:hint="eastAsia" w:ascii="Times New Roman" w:hAnsi="Times New Roman" w:cs="Times New Roman"/>
                <w:b w:val="0"/>
                <w:bCs w:val="0"/>
                <w:color w:val="auto"/>
                <w:sz w:val="24"/>
                <w:szCs w:val="24"/>
                <w:vertAlign w:val="baseline"/>
                <w:lang w:val="en-US" w:eastAsia="zh-CN"/>
              </w:rPr>
              <w:fldChar w:fldCharType="separate"/>
            </w:r>
            <w:r>
              <w:rPr>
                <w:rFonts w:hint="eastAsia" w:ascii="Times New Roman" w:hAnsi="Times New Roman" w:cs="Times New Roman"/>
                <w:b w:val="0"/>
                <w:bCs w:val="0"/>
                <w:color w:val="auto"/>
                <w:sz w:val="24"/>
                <w:szCs w:val="24"/>
                <w:vertAlign w:val="baseline"/>
                <w:lang w:val="en-US" w:eastAsia="zh-CN"/>
              </w:rPr>
              <w:t>9508447</w:t>
            </w:r>
            <w:r>
              <w:rPr>
                <w:rFonts w:hint="eastAsia" w:ascii="Times New Roman" w:hAnsi="Times New Roman" w:cs="Times New Roman"/>
                <w:b w:val="0"/>
                <w:bCs w:val="0"/>
                <w:color w:val="auto"/>
                <w:sz w:val="24"/>
                <w:szCs w:val="24"/>
                <w:vertAlign w:val="baseline"/>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b w:val="0"/>
                <w:bCs w:val="0"/>
                <w:color w:val="auto"/>
                <w:szCs w:val="24"/>
              </w:rPr>
            </w:pPr>
            <w:r>
              <w:rPr>
                <w:rFonts w:hint="eastAsia" w:ascii="宋体" w:hAnsi="宋体" w:eastAsia="宋体" w:cs="宋体"/>
                <w:b w:val="0"/>
                <w:bCs w:val="0"/>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b w:val="0"/>
                <w:bCs w:val="0"/>
                <w:color w:val="auto"/>
                <w:szCs w:val="24"/>
              </w:rPr>
            </w:pPr>
            <w:r>
              <w:rPr>
                <w:rFonts w:hint="eastAsia" w:ascii="宋体" w:hAnsi="宋体" w:eastAsia="宋体" w:cs="宋体"/>
                <w:b w:val="0"/>
                <w:bCs w:val="0"/>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Calibri" w:hAnsi="Calibri" w:eastAsia="宋体" w:cs="Times New Roman"/>
                <w:b w:val="0"/>
                <w:bCs w:val="0"/>
                <w:color w:val="auto"/>
                <w:szCs w:val="24"/>
                <w:lang w:val="en-US"/>
              </w:rPr>
            </w:pPr>
            <w:r>
              <w:rPr>
                <w:rFonts w:hint="eastAsia" w:ascii="Times New Roman" w:hAnsi="Times New Roman" w:cs="Times New Roman"/>
                <w:b w:val="0"/>
                <w:bCs w:val="0"/>
                <w:color w:val="auto"/>
                <w:sz w:val="24"/>
                <w:szCs w:val="24"/>
                <w:vertAlign w:val="baseline"/>
                <w:lang w:val="en-US" w:eastAsia="zh-CN"/>
              </w:rPr>
              <w:fldChar w:fldCharType="begin"/>
            </w:r>
            <w:r>
              <w:rPr>
                <w:rFonts w:hint="eastAsia" w:ascii="Times New Roman" w:hAnsi="Times New Roman" w:cs="Times New Roman"/>
                <w:b w:val="0"/>
                <w:bCs w:val="0"/>
                <w:color w:val="auto"/>
                <w:sz w:val="24"/>
                <w:szCs w:val="24"/>
                <w:vertAlign w:val="baseline"/>
                <w:lang w:val="en-US" w:eastAsia="zh-CN"/>
              </w:rPr>
              <w:instrText xml:space="preserve"> = sum(I3:I4) \* MERGEFORMAT </w:instrText>
            </w:r>
            <w:r>
              <w:rPr>
                <w:rFonts w:hint="eastAsia" w:ascii="Times New Roman" w:hAnsi="Times New Roman" w:cs="Times New Roman"/>
                <w:b w:val="0"/>
                <w:bCs w:val="0"/>
                <w:color w:val="auto"/>
                <w:sz w:val="24"/>
                <w:szCs w:val="24"/>
                <w:vertAlign w:val="baseline"/>
                <w:lang w:val="en-US" w:eastAsia="zh-CN"/>
              </w:rPr>
              <w:fldChar w:fldCharType="separate"/>
            </w:r>
            <w:r>
              <w:rPr>
                <w:rFonts w:hint="eastAsia" w:ascii="Times New Roman" w:hAnsi="Times New Roman" w:cs="Times New Roman"/>
                <w:b w:val="0"/>
                <w:bCs w:val="0"/>
                <w:color w:val="auto"/>
                <w:sz w:val="24"/>
                <w:szCs w:val="24"/>
                <w:vertAlign w:val="baseline"/>
                <w:lang w:val="en-US" w:eastAsia="zh-CN"/>
              </w:rPr>
              <w:t>11312634</w:t>
            </w:r>
            <w:r>
              <w:rPr>
                <w:rFonts w:hint="eastAsia" w:ascii="Times New Roman" w:hAnsi="Times New Roman" w:cs="Times New Roman"/>
                <w:b w:val="0"/>
                <w:bCs w:val="0"/>
                <w:color w:val="auto"/>
                <w:sz w:val="24"/>
                <w:szCs w:val="24"/>
                <w:vertAlign w:val="baseline"/>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Calibri" w:hAnsi="Calibri" w:eastAsia="宋体" w:cs="Times New Roman"/>
                <w:b w:val="0"/>
                <w:bCs w:val="0"/>
                <w:color w:val="auto"/>
                <w:szCs w:val="24"/>
                <w:lang w:val="en-US"/>
              </w:rPr>
            </w:pPr>
            <w:r>
              <w:rPr>
                <w:rFonts w:hint="eastAsia" w:ascii="Times New Roman" w:hAnsi="Times New Roman" w:cs="Times New Roman"/>
                <w:b w:val="0"/>
                <w:bCs w:val="0"/>
                <w:color w:val="auto"/>
                <w:sz w:val="24"/>
                <w:szCs w:val="24"/>
                <w:vertAlign w:val="baseline"/>
                <w:lang w:val="en-US" w:eastAsia="zh-CN"/>
              </w:rPr>
              <w:fldChar w:fldCharType="begin"/>
            </w:r>
            <w:r>
              <w:rPr>
                <w:rFonts w:hint="eastAsia" w:ascii="Times New Roman" w:hAnsi="Times New Roman" w:cs="Times New Roman"/>
                <w:b w:val="0"/>
                <w:bCs w:val="0"/>
                <w:color w:val="auto"/>
                <w:sz w:val="24"/>
                <w:szCs w:val="24"/>
                <w:vertAlign w:val="baseline"/>
                <w:lang w:val="en-US" w:eastAsia="zh-CN"/>
              </w:rPr>
              <w:instrText xml:space="preserve"> = sum(J3:J4) \* MERGEFORMAT </w:instrText>
            </w:r>
            <w:r>
              <w:rPr>
                <w:rFonts w:hint="eastAsia" w:ascii="Times New Roman" w:hAnsi="Times New Roman" w:cs="Times New Roman"/>
                <w:b w:val="0"/>
                <w:bCs w:val="0"/>
                <w:color w:val="auto"/>
                <w:sz w:val="24"/>
                <w:szCs w:val="24"/>
                <w:vertAlign w:val="baseline"/>
                <w:lang w:val="en-US" w:eastAsia="zh-CN"/>
              </w:rPr>
              <w:fldChar w:fldCharType="separate"/>
            </w:r>
            <w:r>
              <w:rPr>
                <w:rFonts w:hint="eastAsia" w:ascii="Times New Roman" w:hAnsi="Times New Roman" w:cs="Times New Roman"/>
                <w:b w:val="0"/>
                <w:bCs w:val="0"/>
                <w:color w:val="auto"/>
                <w:sz w:val="24"/>
                <w:szCs w:val="24"/>
                <w:vertAlign w:val="baseline"/>
                <w:lang w:val="en-US" w:eastAsia="zh-CN"/>
              </w:rPr>
              <w:t>689210</w:t>
            </w:r>
            <w:r>
              <w:rPr>
                <w:rFonts w:hint="eastAsia" w:ascii="Times New Roman" w:hAnsi="Times New Roman" w:cs="Times New Roman"/>
                <w:b w:val="0"/>
                <w:bCs w:val="0"/>
                <w:color w:val="auto"/>
                <w:sz w:val="24"/>
                <w:szCs w:val="24"/>
                <w:vertAlign w:val="baseline"/>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b w:val="0"/>
                <w:bCs w:val="0"/>
                <w:color w:val="auto"/>
                <w:szCs w:val="24"/>
              </w:rPr>
            </w:pPr>
            <w:r>
              <w:rPr>
                <w:rFonts w:hint="eastAsia" w:ascii="宋体" w:hAnsi="宋体" w:eastAsia="宋体" w:cs="宋体"/>
                <w:b w:val="0"/>
                <w:bCs w:val="0"/>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Calibri" w:hAnsi="Calibri" w:eastAsia="宋体" w:cs="Times New Roman"/>
                <w:b w:val="0"/>
                <w:bCs w:val="0"/>
                <w:color w:val="auto"/>
                <w:szCs w:val="24"/>
              </w:rPr>
            </w:pPr>
            <w:r>
              <w:rPr>
                <w:rFonts w:hint="eastAsia" w:ascii="宋体" w:hAnsi="宋体" w:eastAsia="宋体" w:cs="宋体"/>
                <w:b w:val="0"/>
                <w:bCs w:val="0"/>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Calibri" w:eastAsia="宋体" w:cs="Times New Roman"/>
                <w:b w:val="0"/>
                <w:bCs w:val="0"/>
                <w:color w:val="auto"/>
                <w:sz w:val="24"/>
                <w:szCs w:val="24"/>
                <w:lang w:val="en-US" w:eastAsia="zh-CN"/>
              </w:rPr>
            </w:pPr>
            <w:r>
              <w:rPr>
                <w:rFonts w:hint="eastAsia" w:ascii="Times New Roman" w:hAnsi="Times New Roman" w:cs="Times New Roman"/>
                <w:b w:val="0"/>
                <w:bCs w:val="0"/>
                <w:color w:val="auto"/>
                <w:sz w:val="24"/>
                <w:szCs w:val="24"/>
                <w:highlight w:val="none"/>
                <w:vertAlign w:val="baseline"/>
                <w:lang w:val="en-US" w:eastAsia="zh-CN"/>
              </w:rPr>
              <w:t>1110481</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lang w:eastAsia="zh-CN"/>
        </w:rPr>
      </w:pPr>
    </w:p>
    <w:p>
      <w:pPr>
        <w:pStyle w:val="2"/>
        <w:rPr>
          <w:rFonts w:hint="eastAsia" w:ascii="方正黑体_GBK" w:hAnsi="方正黑体_GBK" w:eastAsia="方正黑体_GBK" w:cs="方正黑体_GBK"/>
          <w:sz w:val="32"/>
          <w:szCs w:val="32"/>
          <w:lang w:eastAsia="zh-CN"/>
        </w:rPr>
      </w:pPr>
    </w:p>
    <w:p>
      <w:pPr>
        <w:pStyle w:val="2"/>
        <w:rPr>
          <w:rFonts w:hint="eastAsia" w:ascii="方正黑体_GBK" w:hAnsi="方正黑体_GBK" w:eastAsia="方正黑体_GBK" w:cs="方正黑体_GBK"/>
          <w:sz w:val="32"/>
          <w:szCs w:val="32"/>
          <w:lang w:eastAsia="zh-CN"/>
        </w:rPr>
      </w:pPr>
    </w:p>
    <w:p>
      <w:pPr>
        <w:pStyle w:val="2"/>
        <w:rPr>
          <w:rFonts w:hint="eastAsia" w:ascii="方正黑体_GBK" w:hAnsi="方正黑体_GBK" w:eastAsia="方正黑体_GBK" w:cs="方正黑体_GBK"/>
          <w:sz w:val="32"/>
          <w:szCs w:val="32"/>
          <w:lang w:eastAsia="zh-CN"/>
        </w:rPr>
      </w:pPr>
    </w:p>
    <w:p>
      <w:pPr>
        <w:pStyle w:val="2"/>
        <w:rPr>
          <w:rFonts w:hint="eastAsia" w:ascii="方正黑体_GBK" w:hAnsi="方正黑体_GBK" w:eastAsia="方正黑体_GBK" w:cs="方正黑体_GBK"/>
          <w:sz w:val="32"/>
          <w:szCs w:val="32"/>
          <w:lang w:eastAsia="zh-CN"/>
        </w:rPr>
      </w:pPr>
    </w:p>
    <w:p>
      <w:pPr>
        <w:pStyle w:val="2"/>
        <w:ind w:left="0" w:leftChars="0" w:firstLine="0" w:firstLineChars="0"/>
        <w:rPr>
          <w:rFonts w:hint="eastAsia" w:ascii="方正黑体_GBK" w:hAnsi="方正黑体_GBK" w:eastAsia="方正黑体_GBK" w:cs="方正黑体_GBK"/>
          <w:sz w:val="32"/>
          <w:szCs w:val="32"/>
          <w:lang w:eastAsia="zh-CN"/>
        </w:rPr>
      </w:pPr>
    </w:p>
    <w:p>
      <w:pPr>
        <w:pStyle w:val="2"/>
        <w:ind w:left="0" w:leftChars="0" w:firstLine="0" w:firstLineChars="0"/>
        <w:rPr>
          <w:rFonts w:hint="eastAsia" w:ascii="方正黑体_GBK" w:hAnsi="方正黑体_GBK" w:eastAsia="方正黑体_GBK" w:cs="方正黑体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黑体_GBK" w:hAnsi="方正黑体_GBK" w:eastAsia="方正黑体_GBK" w:cs="方正黑体_GBK"/>
          <w:sz w:val="32"/>
          <w:szCs w:val="40"/>
          <w:lang w:eastAsia="zh-CN"/>
        </w:rPr>
      </w:pPr>
      <w:r>
        <w:rPr>
          <w:rFonts w:hint="eastAsia" w:ascii="方正黑体_GBK" w:hAnsi="方正黑体_GBK" w:eastAsia="方正黑体_GBK" w:cs="方正黑体_GBK"/>
          <w:sz w:val="32"/>
          <w:szCs w:val="32"/>
          <w:lang w:eastAsia="zh-CN"/>
        </w:rPr>
        <w:t>三、收到和</w:t>
      </w:r>
      <w:r>
        <w:rPr>
          <w:rFonts w:hint="default" w:ascii="方正黑体_GBK" w:hAnsi="方正黑体_GBK" w:eastAsia="方正黑体_GBK" w:cs="方正黑体_GBK"/>
          <w:sz w:val="32"/>
          <w:szCs w:val="40"/>
          <w:lang w:eastAsia="zh-CN"/>
        </w:rPr>
        <w:t>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768"/>
        <w:gridCol w:w="943"/>
        <w:gridCol w:w="3150"/>
        <w:gridCol w:w="75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61" w:type="dxa"/>
            <w:gridSpan w:val="3"/>
            <w:vMerge w:val="restart"/>
            <w:tcBorders>
              <w:top w:val="single" w:color="auto" w:sz="8" w:space="0"/>
              <w:left w:val="single" w:color="auto" w:sz="8" w:space="0"/>
              <w:bottom w:val="outset"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ascii="楷体" w:hAnsi="楷体" w:eastAsia="楷体" w:cs="楷体"/>
                <w:b/>
                <w:bCs/>
                <w:kern w:val="0"/>
                <w:sz w:val="20"/>
                <w:szCs w:val="20"/>
                <w:lang w:val="en-US" w:eastAsia="zh-CN" w:bidi="ar"/>
              </w:rPr>
              <w:t>（本列数据的勾稽关系为：第一项加第二项之和，等于第三项加第四项之和）</w:t>
            </w:r>
          </w:p>
        </w:tc>
        <w:tc>
          <w:tcPr>
            <w:tcW w:w="488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61" w:type="dxa"/>
            <w:gridSpan w:val="3"/>
            <w:vMerge w:val="continue"/>
            <w:tcBorders>
              <w:top w:val="single" w:color="auto" w:sz="8" w:space="0"/>
              <w:left w:val="single" w:color="auto" w:sz="8" w:space="0"/>
              <w:bottom w:val="outset" w:color="auto" w:sz="8" w:space="0"/>
              <w:right w:val="single" w:color="auto" w:sz="8" w:space="0"/>
            </w:tcBorders>
            <w:noWrap w:val="0"/>
            <w:tcMar>
              <w:top w:w="0" w:type="dxa"/>
              <w:left w:w="108" w:type="dxa"/>
              <w:bottom w:w="0" w:type="dxa"/>
              <w:right w:w="108" w:type="dxa"/>
            </w:tcMar>
            <w:vAlign w:val="center"/>
          </w:tcPr>
          <w:p>
            <w:pPr>
              <w:rPr>
                <w:rFonts w:hint="eastAsia" w:ascii="宋体" w:hAnsi="Calibri" w:eastAsia="宋体" w:cs="Times New Roman"/>
                <w:sz w:val="24"/>
                <w:szCs w:val="24"/>
              </w:rPr>
            </w:pPr>
          </w:p>
        </w:tc>
        <w:tc>
          <w:tcPr>
            <w:tcW w:w="758"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61" w:type="dxa"/>
            <w:gridSpan w:val="3"/>
            <w:vMerge w:val="continue"/>
            <w:tcBorders>
              <w:top w:val="single" w:color="auto" w:sz="8" w:space="0"/>
              <w:left w:val="single" w:color="auto" w:sz="8" w:space="0"/>
              <w:bottom w:val="outset" w:color="auto" w:sz="8" w:space="0"/>
              <w:right w:val="single" w:color="auto" w:sz="8" w:space="0"/>
            </w:tcBorders>
            <w:noWrap w:val="0"/>
            <w:tcMar>
              <w:top w:w="0" w:type="dxa"/>
              <w:left w:w="108" w:type="dxa"/>
              <w:bottom w:w="0" w:type="dxa"/>
              <w:right w:w="108" w:type="dxa"/>
            </w:tcMar>
            <w:vAlign w:val="center"/>
          </w:tcPr>
          <w:p>
            <w:pPr>
              <w:rPr>
                <w:rFonts w:hint="eastAsia" w:ascii="宋体" w:hAnsi="Calibri" w:eastAsia="宋体" w:cs="Times New Roman"/>
                <w:sz w:val="24"/>
                <w:szCs w:val="24"/>
              </w:rPr>
            </w:pPr>
          </w:p>
        </w:tc>
        <w:tc>
          <w:tcPr>
            <w:tcW w:w="758" w:type="dxa"/>
            <w:vMerge w:val="continue"/>
            <w:tcBorders>
              <w:top w:val="nil"/>
              <w:left w:val="nil"/>
              <w:bottom w:val="single"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szCs w:val="24"/>
              </w:rP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6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一、本年新收政府信息公开申请数量</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7507</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282</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18</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126</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50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8006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6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二、上年结转政府信息公开申请数量</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135</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5</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三、本年度办理结果</w:t>
            </w:r>
          </w:p>
        </w:tc>
        <w:tc>
          <w:tcPr>
            <w:tcW w:w="409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（一）予以公开</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3365</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111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9</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16</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3535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409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967</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58</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18</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6</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1052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restart"/>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（三）不予公开</w:t>
            </w: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1.属于国家秘密</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74</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4</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81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2.其他法律行政法规禁止公开</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44</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3.危及“三安全一稳定”</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50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lang w:val="en"/>
              </w:rPr>
            </w:pPr>
            <w:r>
              <w:rPr>
                <w:rFonts w:hint="default" w:ascii="Times New Roman" w:hAnsi="Times New Roman" w:eastAsia="宋体" w:cs="Times New Roman"/>
                <w:sz w:val="22"/>
                <w:szCs w:val="22"/>
                <w:highlight w:val="none"/>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7</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4.保护第三方合法权益</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97</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2</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5.属于三类内部事务信息</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72</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79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6.属于四类过程性信息</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59</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eastAsia" w:ascii="Times New Roman" w:hAnsi="Times New Roman" w:eastAsia="宋体" w:cs="Times New Roman"/>
                <w:i w:val="0"/>
                <w:iCs w:val="0"/>
                <w:caps w:val="0"/>
                <w:color w:val="333333"/>
                <w:spacing w:val="0"/>
                <w:kern w:val="0"/>
                <w:sz w:val="22"/>
                <w:szCs w:val="22"/>
                <w:highlight w:val="none"/>
                <w:lang w:val="en-US" w:eastAsia="zh-CN" w:bidi="ar"/>
              </w:rPr>
              <w:t>4</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7.属于行政执法案卷</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27</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11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8.属于行政查询事项</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53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56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restart"/>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（四）无法提供</w:t>
            </w: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1.本机关不掌握相关政府信息</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1910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75</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5</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6</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67</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19</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2082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2.没有现成信息需要另行制作</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68</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71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3.补正后申请内容仍不明确</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lang w:val="en"/>
              </w:rPr>
            </w:pPr>
            <w:r>
              <w:rPr>
                <w:rFonts w:hint="default" w:ascii="Times New Roman" w:hAnsi="Times New Roman" w:eastAsia="宋体" w:cs="Times New Roman"/>
                <w:sz w:val="22"/>
                <w:szCs w:val="22"/>
                <w:highlight w:val="none"/>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restart"/>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（五）不予处理</w:t>
            </w: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1.信访举报投诉类申请</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120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4</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2.重复申请</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129</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2</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3.要求提供公开出版物</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lang w:val="en"/>
              </w:rPr>
            </w:pPr>
            <w:r>
              <w:rPr>
                <w:rFonts w:hint="default" w:ascii="Times New Roman" w:hAnsi="Times New Roman" w:eastAsia="宋体" w:cs="Times New Roman"/>
                <w:sz w:val="22"/>
                <w:szCs w:val="22"/>
                <w:highlight w:val="none"/>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eastAsia" w:ascii="Times New Roman" w:hAnsi="Times New Roman" w:eastAsia="宋体" w:cs="Times New Roman"/>
                <w:i w:val="0"/>
                <w:iCs w:val="0"/>
                <w:caps w:val="0"/>
                <w:color w:val="333333"/>
                <w:spacing w:val="0"/>
                <w:kern w:val="0"/>
                <w:sz w:val="22"/>
                <w:szCs w:val="22"/>
                <w:lang w:val="en-US" w:eastAsia="zh-CN" w:bidi="ar"/>
              </w:rPr>
              <w:t>2</w:t>
            </w:r>
            <w:r>
              <w:rPr>
                <w:rFonts w:hint="default" w:ascii="Times New Roman" w:hAnsi="Times New Roman" w:eastAsia="宋体" w:cs="Times New Roman"/>
                <w:i w:val="0"/>
                <w:iCs w:val="0"/>
                <w:caps w:val="0"/>
                <w:color w:val="333333"/>
                <w:spacing w:val="0"/>
                <w:kern w:val="0"/>
                <w:sz w:val="22"/>
                <w:szCs w:val="22"/>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4.无正当理由大量反复申请</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lang w:val="en"/>
              </w:rPr>
            </w:pPr>
            <w:r>
              <w:rPr>
                <w:rFonts w:hint="default" w:ascii="Times New Roman" w:hAnsi="Times New Roman" w:eastAsia="宋体" w:cs="Times New Roman"/>
                <w:sz w:val="22"/>
                <w:szCs w:val="22"/>
                <w:highlight w:val="none"/>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Calibri" w:hAnsi="Calibri" w:eastAsia="宋体" w:cs="Times New Roman"/>
                <w:szCs w:val="24"/>
              </w:rPr>
            </w:pPr>
            <w:r>
              <w:rPr>
                <w:rFonts w:hint="eastAsia" w:ascii="宋体" w:hAnsi="宋体" w:eastAsia="宋体" w:cs="宋体"/>
                <w:kern w:val="0"/>
                <w:sz w:val="20"/>
                <w:szCs w:val="20"/>
                <w:lang w:val="en-US" w:eastAsia="zh-CN" w:bidi="ar"/>
              </w:rPr>
              <w:t>5.要求行政机关确认或重新出具已获取信息</w:t>
            </w:r>
          </w:p>
        </w:tc>
        <w:tc>
          <w:tcPr>
            <w:tcW w:w="758" w:type="dxa"/>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w:t>
            </w:r>
          </w:p>
        </w:tc>
        <w:tc>
          <w:tcPr>
            <w:tcW w:w="688" w:type="dxa"/>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lang w:val="en"/>
              </w:rPr>
            </w:pPr>
            <w:r>
              <w:rPr>
                <w:rFonts w:hint="default" w:ascii="Times New Roman" w:hAnsi="Times New Roman" w:eastAsia="宋体" w:cs="Times New Roman"/>
                <w:sz w:val="22"/>
                <w:szCs w:val="22"/>
                <w:highlight w:val="none"/>
                <w:lang w:val="en"/>
              </w:rPr>
              <w:t>0</w:t>
            </w:r>
          </w:p>
        </w:tc>
        <w:tc>
          <w:tcPr>
            <w:tcW w:w="688" w:type="dxa"/>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restart"/>
            <w:tcBorders>
              <w:top w:val="outset" w:color="auto" w:sz="8" w:space="0"/>
              <w:left w:val="nil"/>
              <w:bottom w:val="outset"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（六）其他处理</w:t>
            </w: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Calibri" w:hAnsi="Calibri" w:eastAsia="宋体" w:cs="Times New Roman"/>
                <w:szCs w:val="24"/>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95</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outset" w:color="auto" w:sz="8" w:space="0"/>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Calibri" w:hAnsi="Calibri" w:eastAsia="宋体" w:cs="Times New Roman"/>
                <w:szCs w:val="24"/>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lang w:val="en"/>
              </w:rPr>
            </w:pPr>
            <w:r>
              <w:rPr>
                <w:rFonts w:hint="default" w:ascii="Times New Roman" w:hAnsi="Times New Roman" w:eastAsia="宋体" w:cs="Times New Roman"/>
                <w:sz w:val="22"/>
                <w:szCs w:val="22"/>
                <w:highlight w:val="none"/>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943" w:type="dxa"/>
            <w:vMerge w:val="continue"/>
            <w:tcBorders>
              <w:top w:val="outset" w:color="auto" w:sz="8" w:space="0"/>
              <w:left w:val="nil"/>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315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3.其他</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304</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highlight w:val="none"/>
                <w:lang w:val="en-US" w:eastAsia="zh-CN" w:bidi="ar"/>
              </w:rPr>
              <w:t>7</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2</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kern w:val="0"/>
                <w:sz w:val="22"/>
                <w:szCs w:val="22"/>
                <w:lang w:val="en-US" w:eastAsia="zh-CN" w:bidi="ar"/>
              </w:rPr>
              <w:t>317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top w:w="0" w:type="dxa"/>
              <w:left w:w="57" w:type="dxa"/>
              <w:bottom w:w="0" w:type="dxa"/>
              <w:right w:w="57" w:type="dxa"/>
            </w:tcMar>
            <w:vAlign w:val="center"/>
          </w:tcPr>
          <w:p>
            <w:pPr>
              <w:rPr>
                <w:rFonts w:hint="eastAsia" w:ascii="宋体" w:hAnsi="Calibri" w:eastAsia="宋体" w:cs="Times New Roman"/>
                <w:sz w:val="24"/>
                <w:szCs w:val="24"/>
              </w:rPr>
            </w:pPr>
          </w:p>
        </w:tc>
        <w:tc>
          <w:tcPr>
            <w:tcW w:w="409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（七）总计</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yellow"/>
                <w:lang w:val="en-US" w:eastAsia="zh-CN"/>
              </w:rPr>
            </w:pPr>
            <w:r>
              <w:rPr>
                <w:rFonts w:hint="default" w:ascii="Times New Roman" w:hAnsi="Times New Roman" w:eastAsia="宋体" w:cs="Times New Roman"/>
                <w:i w:val="0"/>
                <w:iCs w:val="0"/>
                <w:caps w:val="0"/>
                <w:color w:val="333333"/>
                <w:spacing w:val="0"/>
                <w:kern w:val="0"/>
                <w:sz w:val="22"/>
                <w:szCs w:val="22"/>
                <w:lang w:val="en-US" w:eastAsia="zh-CN" w:bidi="ar"/>
              </w:rPr>
              <w:t>7473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lang w:val="en-US"/>
              </w:rPr>
            </w:pPr>
            <w:r>
              <w:rPr>
                <w:rFonts w:hint="default" w:ascii="Times New Roman" w:hAnsi="Times New Roman" w:eastAsia="宋体" w:cs="Times New Roman"/>
                <w:i w:val="0"/>
                <w:iCs w:val="0"/>
                <w:caps w:val="0"/>
                <w:color w:val="333333"/>
                <w:spacing w:val="0"/>
                <w:kern w:val="0"/>
                <w:sz w:val="22"/>
                <w:szCs w:val="22"/>
                <w:lang w:val="en-US" w:eastAsia="zh-CN" w:bidi="ar"/>
              </w:rPr>
              <w:t>287</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lang w:val="en-US" w:eastAsia="zh-CN" w:bidi="ar"/>
              </w:rPr>
              <w:t>23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lang w:val="en-US" w:eastAsia="zh-CN" w:bidi="ar"/>
              </w:rPr>
              <w:t>18</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lang w:val="en-US" w:eastAsia="zh-CN" w:bidi="ar"/>
              </w:rPr>
              <w:t>125</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lang w:val="en-US" w:eastAsia="zh-CN" w:bidi="ar"/>
              </w:rPr>
              <w:t>48</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aps w:val="0"/>
                <w:color w:val="333333"/>
                <w:spacing w:val="0"/>
                <w:kern w:val="0"/>
                <w:sz w:val="22"/>
                <w:szCs w:val="22"/>
                <w:lang w:val="en-US" w:eastAsia="zh-CN" w:bidi="ar"/>
              </w:rPr>
              <w:t>7974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6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szCs w:val="24"/>
              </w:rPr>
            </w:pPr>
            <w:r>
              <w:rPr>
                <w:rFonts w:hint="eastAsia" w:ascii="宋体" w:hAnsi="宋体" w:eastAsia="宋体" w:cs="宋体"/>
                <w:kern w:val="0"/>
                <w:sz w:val="20"/>
                <w:szCs w:val="20"/>
                <w:lang w:val="en-US" w:eastAsia="zh-CN" w:bidi="ar"/>
              </w:rPr>
              <w:t>四、结转下年度继续办理</w:t>
            </w:r>
          </w:p>
        </w:tc>
        <w:tc>
          <w:tcPr>
            <w:tcW w:w="75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0000FF"/>
                <w:sz w:val="22"/>
                <w:szCs w:val="22"/>
                <w:highlight w:val="green"/>
              </w:rPr>
            </w:pPr>
            <w:r>
              <w:rPr>
                <w:rFonts w:hint="default" w:ascii="Times New Roman" w:hAnsi="Times New Roman" w:eastAsia="宋体" w:cs="Times New Roman"/>
                <w:i w:val="0"/>
                <w:iCs w:val="0"/>
                <w:caps w:val="0"/>
                <w:color w:val="333333"/>
                <w:spacing w:val="0"/>
                <w:kern w:val="0"/>
                <w:sz w:val="22"/>
                <w:szCs w:val="22"/>
                <w:lang w:val="en-US" w:eastAsia="zh-CN" w:bidi="ar"/>
              </w:rPr>
              <w:t>169</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0000FF"/>
                <w:sz w:val="22"/>
                <w:szCs w:val="22"/>
                <w:highlight w:val="green"/>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sz w:val="22"/>
                <w:szCs w:val="22"/>
                <w:lang w:val="en"/>
              </w:rPr>
            </w:pPr>
            <w:r>
              <w:rPr>
                <w:rFonts w:hint="default" w:ascii="Times New Roman" w:hAnsi="Times New Roman" w:eastAsia="宋体" w:cs="Times New Roman"/>
                <w:sz w:val="22"/>
                <w:szCs w:val="22"/>
                <w:lang w:val="e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sz w:val="22"/>
                <w:szCs w:val="22"/>
                <w:lang w:val="en-US" w:eastAsia="zh-CN"/>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sz w:val="22"/>
                <w:szCs w:val="22"/>
                <w:lang w:val="en-US" w:eastAsia="zh-CN"/>
              </w:rPr>
              <w:t>2</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jc w:val="center"/>
              <w:rPr>
                <w:rFonts w:hint="default" w:ascii="Times New Roman" w:hAnsi="Times New Roman" w:eastAsia="宋体" w:cs="Times New Roman"/>
                <w:sz w:val="22"/>
                <w:szCs w:val="22"/>
              </w:rPr>
            </w:pPr>
            <w:r>
              <w:rPr>
                <w:rFonts w:hint="default" w:ascii="Times New Roman" w:hAnsi="Times New Roman" w:eastAsia="宋体" w:cs="Times New Roman"/>
                <w:i w:val="0"/>
                <w:iCs w:val="0"/>
                <w:caps w:val="0"/>
                <w:color w:val="333333"/>
                <w:spacing w:val="0"/>
                <w:sz w:val="22"/>
                <w:szCs w:val="22"/>
                <w:lang w:val="en-US" w:eastAsia="zh-CN"/>
              </w:rPr>
              <w:t>172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100" w:rightChars="100"/>
        <w:jc w:val="both"/>
        <w:textAlignment w:val="auto"/>
        <w:rPr>
          <w:rFonts w:hint="eastAsia" w:ascii="方正黑体_GBK" w:hAnsi="方正黑体_GBK" w:eastAsia="方正黑体_GBK" w:cs="方正黑体_GBK"/>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40"/>
          <w:lang w:eastAsia="zh-CN"/>
        </w:rPr>
      </w:pPr>
      <w:r>
        <w:rPr>
          <w:rFonts w:hint="eastAsia" w:ascii="方正黑体_GBK" w:hAnsi="方正黑体_GBK" w:eastAsia="方正黑体_GBK" w:cs="方正黑体_GBK"/>
          <w:sz w:val="32"/>
          <w:szCs w:val="40"/>
          <w:lang w:eastAsia="zh-CN"/>
        </w:rPr>
        <w:t>四、</w:t>
      </w:r>
      <w:r>
        <w:rPr>
          <w:rFonts w:hint="default" w:ascii="方正黑体_GBK" w:hAnsi="方正黑体_GBK" w:eastAsia="方正黑体_GBK" w:cs="方正黑体_GBK"/>
          <w:sz w:val="32"/>
          <w:szCs w:val="40"/>
          <w:lang w:eastAsia="zh-CN"/>
        </w:rPr>
        <w:t>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Calibri" w:eastAsia="宋体" w:cs="Times New Roman"/>
                <w:sz w:val="24"/>
                <w:szCs w:val="24"/>
              </w:rPr>
            </w:pPr>
          </w:p>
        </w:tc>
        <w:tc>
          <w:tcPr>
            <w:tcW w:w="642"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Calibri" w:eastAsia="宋体" w:cs="Times New Roman"/>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Calibri" w:eastAsia="宋体" w:cs="Times New Roman"/>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Calibri" w:eastAsia="宋体" w:cs="Times New Roman"/>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Calibri" w:eastAsia="宋体" w:cs="Times New Roman"/>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eastAsia="宋体" w:cs="Times New Roman"/>
                <w:szCs w:val="24"/>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kern w:val="0"/>
                <w:sz w:val="22"/>
                <w:szCs w:val="22"/>
                <w:lang w:val="en-US" w:eastAsia="zh-CN" w:bidi="ar"/>
              </w:rPr>
              <w:t>89</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37</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kern w:val="0"/>
                <w:sz w:val="22"/>
                <w:szCs w:val="22"/>
                <w:lang w:val="en-US" w:eastAsia="zh-CN" w:bidi="ar"/>
              </w:rPr>
              <w:t>13</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33</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172</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47</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12</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24</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25</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108</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10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1</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8</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kern w:val="0"/>
                <w:sz w:val="22"/>
                <w:szCs w:val="22"/>
                <w:lang w:val="en-US" w:eastAsia="zh-CN" w:bidi="ar"/>
              </w:rPr>
              <w:t>6</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22"/>
                <w:szCs w:val="22"/>
                <w:lang w:val="en-US" w:eastAsia="zh-CN"/>
              </w:rPr>
              <w:t>25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w:t>
      </w:r>
      <w:r>
        <w:rPr>
          <w:rFonts w:hint="default" w:ascii="方正黑体_GBK" w:hAnsi="方正黑体_GBK" w:eastAsia="方正黑体_GBK" w:cs="方正黑体_GBK"/>
          <w:sz w:val="32"/>
          <w:szCs w:val="32"/>
          <w:lang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eastAsia="zh-CN"/>
        </w:rPr>
        <w:t>存在的主要问题：</w:t>
      </w:r>
      <w:r>
        <w:rPr>
          <w:rFonts w:hint="eastAsia" w:ascii="Times New Roman" w:hAnsi="Times New Roman" w:eastAsia="方正仿宋_GBK" w:cs="Times New Roman"/>
          <w:color w:val="auto"/>
          <w:sz w:val="32"/>
          <w:szCs w:val="32"/>
          <w:lang w:val="en-US" w:eastAsia="zh-CN"/>
        </w:rPr>
        <w:t>各地基层政务公开工作推进情况和能力水平差异明显，整体规范化标准化建设还需进一步加强；政策解读质量有待进一步提升，解读的针对性和时效性还不强；依申请公开工作方面，对多头申请、大量申请缺乏必要的限制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下一步改进措施：</w:t>
      </w:r>
      <w:r>
        <w:rPr>
          <w:rFonts w:hint="eastAsia" w:ascii="Times New Roman" w:hAnsi="Times New Roman" w:eastAsia="方正仿宋_GBK" w:cs="Times New Roman"/>
          <w:sz w:val="32"/>
          <w:szCs w:val="32"/>
          <w:lang w:val="en-US" w:eastAsia="zh-CN"/>
        </w:rPr>
        <w:t>把政策解读放在与政策制定同等重要位置，同步谋划、同步安排，</w:t>
      </w:r>
      <w:r>
        <w:rPr>
          <w:rFonts w:hint="default" w:ascii="Times New Roman" w:hAnsi="Times New Roman" w:eastAsia="方正仿宋_GBK" w:cs="Times New Roman"/>
          <w:color w:val="auto"/>
          <w:sz w:val="32"/>
          <w:szCs w:val="32"/>
          <w:lang w:eastAsia="zh-CN"/>
        </w:rPr>
        <w:t>围绕重大行政决策、重要政策文件、重点工作部署等进行关联式解读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多形式呈现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联动式传播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sz w:val="32"/>
          <w:szCs w:val="32"/>
          <w:lang w:val="en-US" w:eastAsia="zh-CN"/>
        </w:rPr>
        <w:t>准确传递政策内涵、精准释放政策信号、有效引导市场预期，</w:t>
      </w:r>
      <w:r>
        <w:rPr>
          <w:rFonts w:hint="eastAsia" w:ascii="Times New Roman" w:hAnsi="Times New Roman" w:eastAsia="方正仿宋_GBK" w:cs="Times New Roman"/>
          <w:color w:val="auto"/>
          <w:sz w:val="32"/>
          <w:szCs w:val="32"/>
          <w:lang w:val="en-US" w:eastAsia="zh-CN"/>
        </w:rPr>
        <w:t>真正让企业群众易知晓、好理解、会兑现。</w:t>
      </w:r>
      <w:r>
        <w:rPr>
          <w:rFonts w:hint="default" w:ascii="Times New Roman" w:hAnsi="Times New Roman" w:eastAsia="方正仿宋_GBK" w:cs="Times New Roman"/>
          <w:sz w:val="32"/>
          <w:szCs w:val="32"/>
          <w:lang w:eastAsia="zh-CN"/>
        </w:rPr>
        <w:t>出台《政务公开管理规范》、《政府信息公开基本目录编制规范》、《政务公开网络平台管理规范》</w:t>
      </w:r>
      <w:r>
        <w:rPr>
          <w:rFonts w:hint="default" w:ascii="Times New Roman" w:hAnsi="Times New Roman" w:eastAsia="方正仿宋_GBK" w:cs="Times New Roman"/>
          <w:sz w:val="32"/>
          <w:szCs w:val="32"/>
          <w:lang w:val="en-US" w:eastAsia="zh-CN"/>
        </w:rPr>
        <w:t>3项云南省地方标准，开展</w:t>
      </w:r>
      <w:r>
        <w:rPr>
          <w:rFonts w:hint="eastAsia" w:ascii="Times New Roman" w:hAnsi="Times New Roman" w:eastAsia="方正仿宋_GBK" w:cs="Times New Roman"/>
          <w:sz w:val="32"/>
          <w:szCs w:val="32"/>
          <w:lang w:val="en-US" w:eastAsia="zh-CN"/>
        </w:rPr>
        <w:t>全省民生诉求综合服务改革和基层</w:t>
      </w:r>
      <w:r>
        <w:rPr>
          <w:rFonts w:hint="default" w:ascii="Times New Roman" w:hAnsi="Times New Roman" w:eastAsia="方正仿宋_GBK" w:cs="Times New Roman"/>
          <w:sz w:val="32"/>
          <w:szCs w:val="32"/>
          <w:lang w:val="en-US" w:eastAsia="zh-CN"/>
        </w:rPr>
        <w:t>政务公开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补短板 强弱项 促提升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专项行动，</w:t>
      </w:r>
      <w:r>
        <w:rPr>
          <w:rFonts w:hint="eastAsia" w:ascii="Times New Roman" w:hAnsi="Times New Roman" w:eastAsia="方正仿宋_GBK" w:cs="Times New Roman"/>
          <w:sz w:val="32"/>
          <w:szCs w:val="32"/>
          <w:lang w:val="en-US" w:eastAsia="zh-CN"/>
        </w:rPr>
        <w:t>积极开展政务公开一线工作人员业务培训，力争形成体系完备、制度健全、平台规范、队伍专业、保障有力的基层政务公开新格局</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color w:val="auto"/>
          <w:sz w:val="32"/>
          <w:szCs w:val="32"/>
          <w:lang w:val="en-US" w:eastAsia="zh-CN"/>
        </w:rPr>
        <w:t>加大对新修订《行政复议法》的学习宣传贯彻力度，规范依申请公开救济渠道，进一步做好群众工作，争取公众的理解支持，从源头上减少多头申请、大量申请等情况。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六、</w:t>
      </w:r>
      <w:r>
        <w:rPr>
          <w:rFonts w:hint="default" w:ascii="方正黑体_GBK" w:hAnsi="方正黑体_GBK" w:eastAsia="方正黑体_GBK" w:cs="方正黑体_GBK"/>
          <w:sz w:val="32"/>
          <w:szCs w:val="32"/>
          <w:lang w:eastAsia="zh-CN"/>
        </w:rPr>
        <w:t>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小标宋_GBK" w:hAnsi="方正小标宋_GBK" w:eastAsia="方正小标宋_GBK" w:cs="方正小标宋_GBK"/>
          <w:sz w:val="44"/>
          <w:szCs w:val="44"/>
          <w:lang w:val="en-US" w:eastAsia="zh-CN"/>
        </w:rPr>
      </w:pPr>
      <w:r>
        <w:rPr>
          <w:rFonts w:hint="default" w:ascii="Times New Roman" w:hAnsi="Times New Roman" w:eastAsia="方正仿宋_GBK" w:cs="Times New Roman"/>
          <w:sz w:val="32"/>
          <w:szCs w:val="32"/>
          <w:lang w:val="en-US" w:eastAsia="zh-CN"/>
        </w:rPr>
        <w:t>2023年度</w:t>
      </w:r>
      <w:r>
        <w:rPr>
          <w:rFonts w:hint="eastAsia" w:ascii="Times New Roman" w:hAnsi="Times New Roman" w:eastAsia="方正仿宋_GBK" w:cs="Times New Roman"/>
          <w:sz w:val="32"/>
          <w:szCs w:val="32"/>
          <w:lang w:val="en-US" w:eastAsia="zh-CN"/>
        </w:rPr>
        <w:t>，发出信息处理费收费通知1件，实际收取信息处理费0元。</w:t>
      </w:r>
    </w:p>
    <w:p>
      <w:pPr>
        <w:rPr>
          <w:rFonts w:hint="eastAsia" w:ascii="sysfST" w:hAnsi="sysfST" w:eastAsia="sysfST" w:cs="sysfST"/>
        </w:rPr>
      </w:pPr>
    </w:p>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ysfST">
    <w:altName w:val="宋体"/>
    <w:panose1 w:val="02010604000000000000"/>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w:pict>
        <v:shape id="文本框 1"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宋体" w:cs="Times New Roman"/>
                    <w:kern w:val="2"/>
                    <w:sz w:val="28"/>
                    <w:szCs w:val="40"/>
                    <w:lang w:val="en-US" w:eastAsia="zh-CN" w:bidi="ar-SA"/>
                  </w:rPr>
                </w:pPr>
                <w:r>
                  <w:rPr>
                    <w:rFonts w:hint="default" w:ascii="Times New Roman" w:hAnsi="Times New Roman" w:eastAsia="宋体" w:cs="Times New Roman"/>
                    <w:kern w:val="2"/>
                    <w:sz w:val="28"/>
                    <w:szCs w:val="40"/>
                    <w:lang w:val="en-US" w:eastAsia="zh-CN" w:bidi="ar-SA"/>
                  </w:rPr>
                  <w:fldChar w:fldCharType="begin"/>
                </w:r>
                <w:r>
                  <w:rPr>
                    <w:rFonts w:hint="default" w:ascii="Times New Roman" w:hAnsi="Times New Roman" w:eastAsia="宋体" w:cs="Times New Roman"/>
                    <w:kern w:val="2"/>
                    <w:sz w:val="28"/>
                    <w:szCs w:val="40"/>
                    <w:lang w:val="en-US" w:eastAsia="zh-CN" w:bidi="ar-SA"/>
                  </w:rPr>
                  <w:instrText xml:space="preserve"> PAGE  \* MERGEFORMAT </w:instrText>
                </w:r>
                <w:r>
                  <w:rPr>
                    <w:rFonts w:hint="default" w:ascii="Times New Roman" w:hAnsi="Times New Roman" w:eastAsia="宋体" w:cs="Times New Roman"/>
                    <w:kern w:val="2"/>
                    <w:sz w:val="28"/>
                    <w:szCs w:val="40"/>
                    <w:lang w:val="en-US" w:eastAsia="zh-CN" w:bidi="ar-SA"/>
                  </w:rPr>
                  <w:fldChar w:fldCharType="separate"/>
                </w:r>
                <w:r>
                  <w:rPr>
                    <w:rFonts w:hint="default" w:ascii="Times New Roman" w:hAnsi="Times New Roman" w:eastAsia="宋体" w:cs="Times New Roman"/>
                    <w:kern w:val="2"/>
                    <w:sz w:val="28"/>
                    <w:szCs w:val="40"/>
                    <w:lang w:val="en-US" w:eastAsia="zh-CN" w:bidi="ar-SA"/>
                  </w:rPr>
                  <w:t>1</w:t>
                </w:r>
                <w:r>
                  <w:rPr>
                    <w:rFonts w:hint="default" w:ascii="Times New Roman" w:hAnsi="Times New Roman" w:eastAsia="宋体" w:cs="Times New Roman"/>
                    <w:kern w:val="2"/>
                    <w:sz w:val="28"/>
                    <w:szCs w:val="40"/>
                    <w:lang w:val="en-US" w:eastAsia="zh-CN" w:bidi="ar-S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60E09"/>
    <w:multiLevelType w:val="singleLevel"/>
    <w:tmpl w:val="FBF60E0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B939BC7"/>
    <w:rsid w:val="1BFD5F67"/>
    <w:rsid w:val="57CE2F1B"/>
    <w:rsid w:val="754D750B"/>
    <w:rsid w:val="7B939B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0"/>
    <w:pPr>
      <w:ind w:leftChars="100" w:rightChars="1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2024-03-29T09:10:00Z</dcterms:created>
  <dc:creator>wyy</dc:creator>
  <cp:lastModifiedBy>土匪圆</cp:lastModifiedBy>
  <dcterms:modified xsi:type="dcterms:W3CDTF">2024-03-29T08:32:48Z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79765314BD65433AB5ACB65DAB220A70</vt:lpwstr>
  </property>
</Properties>
</file>