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u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2022年云南省政府信息公开工作年度报告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0000FF"/>
          <w:sz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rPr>
      </w:pPr>
      <w:r>
        <w:rPr>
          <w:rFonts w:hint="eastAsia" w:ascii="Times New Roman" w:hAnsi="Times New Roman" w:eastAsia="方正仿宋_GBK"/>
          <w:color w:val="auto"/>
          <w:sz w:val="32"/>
        </w:rPr>
        <w:t>本报告根据《中华人民共和国政府信息公开条例》（国务院令第711号，以下简称《条例》）</w:t>
      </w:r>
      <w:r>
        <w:rPr>
          <w:rFonts w:hint="eastAsia" w:ascii="Times New Roman" w:hAnsi="Times New Roman" w:eastAsia="方正仿宋_GBK"/>
          <w:color w:val="auto"/>
          <w:sz w:val="32"/>
          <w:lang w:eastAsia="zh-CN"/>
        </w:rPr>
        <w:t>和《国务院办公厅政府信息与政务公开办公室关于印发</w:t>
      </w:r>
      <w:r>
        <w:rPr>
          <w:rFonts w:hint="eastAsia" w:ascii="方正仿宋_GBK" w:hAnsi="方正仿宋_GBK" w:eastAsia="方正仿宋_GBK" w:cs="方正仿宋_GBK"/>
          <w:color w:val="auto"/>
          <w:sz w:val="32"/>
          <w:lang w:eastAsia="zh-CN"/>
        </w:rPr>
        <w:t>〈中华人民共和国政府信息公开工作年度报告格式〉的通</w:t>
      </w:r>
      <w:r>
        <w:rPr>
          <w:rFonts w:hint="eastAsia" w:ascii="Times New Roman" w:hAnsi="Times New Roman" w:eastAsia="方正仿宋_GBK" w:cs="Times New Roman"/>
          <w:color w:val="auto"/>
          <w:sz w:val="32"/>
          <w:lang w:eastAsia="zh-CN"/>
        </w:rPr>
        <w:t>知》（国办公开办函〔</w:t>
      </w:r>
      <w:r>
        <w:rPr>
          <w:rFonts w:hint="eastAsia" w:ascii="Times New Roman" w:hAnsi="Times New Roman" w:eastAsia="方正仿宋_GBK" w:cs="Times New Roman"/>
          <w:color w:val="auto"/>
          <w:sz w:val="32"/>
          <w:lang w:val="en-US" w:eastAsia="zh-CN"/>
        </w:rPr>
        <w:t>2021</w:t>
      </w:r>
      <w:r>
        <w:rPr>
          <w:rFonts w:hint="eastAsia" w:ascii="Times New Roman" w:hAnsi="Times New Roman" w:eastAsia="方正仿宋_GBK" w:cs="Times New Roman"/>
          <w:color w:val="auto"/>
          <w:sz w:val="32"/>
          <w:lang w:eastAsia="zh-CN"/>
        </w:rPr>
        <w:t>〕</w:t>
      </w:r>
      <w:r>
        <w:rPr>
          <w:rFonts w:hint="eastAsia" w:ascii="Times New Roman" w:hAnsi="Times New Roman" w:eastAsia="方正仿宋_GBK" w:cs="Times New Roman"/>
          <w:color w:val="auto"/>
          <w:sz w:val="32"/>
          <w:lang w:val="en-US" w:eastAsia="zh-CN"/>
        </w:rPr>
        <w:t>30号</w:t>
      </w:r>
      <w:r>
        <w:rPr>
          <w:rFonts w:hint="eastAsia" w:ascii="Times New Roman" w:hAnsi="Times New Roman" w:eastAsia="方正仿宋_GBK" w:cs="Times New Roman"/>
          <w:color w:val="auto"/>
          <w:sz w:val="32"/>
          <w:lang w:eastAsia="zh-CN"/>
        </w:rPr>
        <w:t>）有关要求</w:t>
      </w:r>
      <w:r>
        <w:rPr>
          <w:rFonts w:hint="eastAsia" w:ascii="Times New Roman" w:hAnsi="Times New Roman" w:eastAsia="方正仿宋_GBK" w:cs="Times New Roman"/>
          <w:color w:val="auto"/>
          <w:sz w:val="32"/>
        </w:rPr>
        <w:t>编</w:t>
      </w:r>
      <w:r>
        <w:rPr>
          <w:rFonts w:hint="eastAsia" w:ascii="Times New Roman" w:hAnsi="Times New Roman" w:eastAsia="方正仿宋_GBK"/>
          <w:color w:val="auto"/>
          <w:sz w:val="32"/>
        </w:rPr>
        <w:t>制。报告</w:t>
      </w:r>
      <w:r>
        <w:rPr>
          <w:rFonts w:hint="eastAsia" w:ascii="Times New Roman" w:hAnsi="Times New Roman" w:eastAsia="方正仿宋_GBK"/>
          <w:color w:val="auto"/>
          <w:sz w:val="32"/>
          <w:lang w:eastAsia="zh-CN"/>
        </w:rPr>
        <w:t>汇总全省数据，</w:t>
      </w:r>
      <w:r>
        <w:rPr>
          <w:rFonts w:hint="eastAsia" w:ascii="Times New Roman" w:hAnsi="Times New Roman" w:eastAsia="方正仿宋_GBK"/>
          <w:color w:val="auto"/>
          <w:sz w:val="32"/>
        </w:rPr>
        <w:t>统计期限为202</w:t>
      </w:r>
      <w:r>
        <w:rPr>
          <w:rFonts w:hint="eastAsia" w:ascii="Times New Roman" w:hAnsi="Times New Roman" w:eastAsia="方正仿宋_GBK"/>
          <w:color w:val="auto"/>
          <w:sz w:val="32"/>
          <w:lang w:val="en-US" w:eastAsia="zh-CN"/>
        </w:rPr>
        <w:t>2</w:t>
      </w:r>
      <w:r>
        <w:rPr>
          <w:rFonts w:hint="eastAsia" w:ascii="Times New Roman" w:hAnsi="Times New Roman" w:eastAsia="方正仿宋_GBK"/>
          <w:color w:val="auto"/>
          <w:sz w:val="32"/>
        </w:rPr>
        <w:t>年1月1日至202</w:t>
      </w:r>
      <w:r>
        <w:rPr>
          <w:rFonts w:hint="eastAsia" w:ascii="Times New Roman" w:hAnsi="Times New Roman" w:eastAsia="方正仿宋_GBK"/>
          <w:color w:val="auto"/>
          <w:sz w:val="32"/>
          <w:lang w:val="en-US" w:eastAsia="zh-CN"/>
        </w:rPr>
        <w:t>2</w:t>
      </w:r>
      <w:r>
        <w:rPr>
          <w:rFonts w:hint="eastAsia" w:ascii="Times New Roman" w:hAnsi="Times New Roman" w:eastAsia="方正仿宋_GBK"/>
          <w:color w:val="auto"/>
          <w:sz w:val="32"/>
        </w:rPr>
        <w:t>年12月31日。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rPr>
      </w:pPr>
      <w:r>
        <w:rPr>
          <w:rFonts w:hint="eastAsia" w:ascii="方正黑体_GBK" w:hAnsi="方正黑体_GBK" w:eastAsia="方正黑体_GBK" w:cs="方正黑体_GBK"/>
          <w:color w:val="auto"/>
          <w:sz w:val="32"/>
        </w:rPr>
        <w:t>一、总体情况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olor w:val="auto"/>
          <w:sz w:val="32"/>
          <w:lang w:val="en-US" w:eastAsia="zh-CN"/>
        </w:rPr>
      </w:pPr>
      <w:r>
        <w:rPr>
          <w:rFonts w:hint="eastAsia" w:ascii="Times New Roman" w:hAnsi="Times New Roman" w:eastAsia="方正仿宋_GBK"/>
          <w:color w:val="auto"/>
          <w:sz w:val="32"/>
          <w:lang w:eastAsia="zh-CN"/>
        </w:rPr>
        <w:t>202</w:t>
      </w:r>
      <w:r>
        <w:rPr>
          <w:rFonts w:hint="eastAsia" w:ascii="Times New Roman" w:hAnsi="Times New Roman" w:eastAsia="方正仿宋_GBK"/>
          <w:color w:val="auto"/>
          <w:sz w:val="32"/>
          <w:lang w:val="en-US" w:eastAsia="zh-CN"/>
        </w:rPr>
        <w:t>2</w:t>
      </w:r>
      <w:r>
        <w:rPr>
          <w:rFonts w:hint="eastAsia" w:ascii="Times New Roman" w:hAnsi="Times New Roman" w:eastAsia="方正仿宋_GBK"/>
          <w:color w:val="auto"/>
          <w:sz w:val="32"/>
          <w:lang w:eastAsia="zh-CN"/>
        </w:rPr>
        <w:t>年，云南省</w:t>
      </w:r>
      <w:r>
        <w:rPr>
          <w:rFonts w:hint="eastAsia" w:ascii="Times New Roman" w:hAnsi="Times New Roman" w:eastAsia="方正仿宋_GBK"/>
          <w:color w:val="auto"/>
          <w:sz w:val="32"/>
        </w:rPr>
        <w:t>坚持</w:t>
      </w:r>
      <w:r>
        <w:rPr>
          <w:rFonts w:hint="eastAsia" w:ascii="Times New Roman" w:hAnsi="Times New Roman" w:eastAsia="方正仿宋_GBK"/>
          <w:color w:val="auto"/>
          <w:sz w:val="32"/>
          <w:lang w:eastAsia="zh-CN"/>
        </w:rPr>
        <w:t>以习近平新时代中国特色社会主义思想为指导，全面学习贯彻党的二十大精神，深入贯彻落实习近平总书记考察云南重要讲话和重要指示批示精神，按照党中央、国务院关于深化政务公开的决策部署和《条例》要求，紧紧围绕省委、省政府中心工作和企业群众所需所盼，将深化政务公开要求融入到作风革命、效能革命中，不断拓展公开的广度、深度和细度，持续推动政府决策和管理服务规范化透明化，有力服务全省经济平稳健康发展和保持社会和谐稳定。在国务院办公厅组织开展的</w:t>
      </w:r>
      <w:r>
        <w:rPr>
          <w:rFonts w:hint="eastAsia" w:ascii="Times New Roman" w:hAnsi="Times New Roman" w:eastAsia="方正仿宋_GBK"/>
          <w:color w:val="auto"/>
          <w:sz w:val="32"/>
          <w:lang w:val="en-US" w:eastAsia="zh-CN"/>
        </w:rPr>
        <w:t>2021年度政务公开第三方评估中，云南省得分为92.83分。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textAlignment w:val="auto"/>
        <w:rPr>
          <w:rFonts w:hint="eastAsia" w:ascii="方正楷体_GBK" w:hAnsi="方正楷体_GBK" w:eastAsia="方正楷体_GBK" w:cs="方正楷体_GBK"/>
          <w:color w:val="auto"/>
          <w:sz w:val="32"/>
          <w:lang w:val="en-US" w:eastAsia="zh-CN"/>
        </w:rPr>
      </w:pPr>
      <w:r>
        <w:rPr>
          <w:rFonts w:hint="eastAsia" w:ascii="方正楷体_GBK" w:hAnsi="方正楷体_GBK" w:eastAsia="方正楷体_GBK" w:cs="方正楷体_GBK"/>
          <w:color w:val="auto"/>
          <w:sz w:val="32"/>
          <w:lang w:val="en-US" w:eastAsia="zh-CN"/>
        </w:rPr>
        <w:t xml:space="preserve">    </w:t>
      </w:r>
      <w:r>
        <w:rPr>
          <w:rFonts w:hint="eastAsia" w:ascii="方正楷体_GBK" w:hAnsi="方正楷体_GBK" w:eastAsia="方正楷体_GBK" w:cs="方正楷体_GBK"/>
          <w:color w:val="auto"/>
          <w:sz w:val="32"/>
          <w:lang w:eastAsia="zh-CN"/>
        </w:rPr>
        <w:t>（一）主动公开方面。</w:t>
      </w:r>
      <w:r>
        <w:rPr>
          <w:rFonts w:hint="eastAsia" w:ascii="Times New Roman" w:hAnsi="Times New Roman" w:eastAsia="方正仿宋_GBK"/>
          <w:color w:val="auto"/>
          <w:sz w:val="32"/>
          <w:lang w:eastAsia="zh-CN"/>
        </w:rPr>
        <w:t>各级行政机关全面贯彻落实《条例》和政务公开年度工作要点，编制完善政府信息公开基本目录，</w:t>
      </w:r>
      <w:r>
        <w:rPr>
          <w:rFonts w:hint="eastAsia" w:ascii="Times New Roman" w:hAnsi="Times New Roman" w:eastAsia="方正仿宋_GBK"/>
          <w:color w:val="auto"/>
          <w:sz w:val="32"/>
          <w:u w:val="none"/>
          <w:lang w:eastAsia="zh-CN"/>
        </w:rPr>
        <w:t>持续规范并细化</w:t>
      </w:r>
      <w:r>
        <w:rPr>
          <w:rFonts w:hint="eastAsia" w:ascii="Times New Roman" w:hAnsi="Times New Roman" w:eastAsia="方正仿宋_GBK"/>
          <w:color w:val="auto"/>
          <w:sz w:val="32"/>
          <w:lang w:eastAsia="zh-CN"/>
        </w:rPr>
        <w:t>公开</w:t>
      </w:r>
      <w:r>
        <w:rPr>
          <w:rFonts w:hint="eastAsia" w:ascii="Times New Roman" w:hAnsi="Times New Roman" w:eastAsia="方正仿宋_GBK"/>
          <w:color w:val="auto"/>
          <w:sz w:val="32"/>
          <w:lang w:val="en-US" w:eastAsia="zh-CN"/>
        </w:rPr>
        <w:t>重大建设项目、乡村振兴、义务教育、医疗卫生、养老服务、社会救助等公众关注度高的</w:t>
      </w:r>
      <w:r>
        <w:rPr>
          <w:rFonts w:hint="eastAsia" w:ascii="Times New Roman" w:hAnsi="Times New Roman" w:eastAsia="方正仿宋_GBK"/>
          <w:color w:val="auto"/>
          <w:sz w:val="32"/>
          <w:lang w:eastAsia="zh-CN"/>
        </w:rPr>
        <w:t>重点领域信息。</w:t>
      </w:r>
      <w:r>
        <w:rPr>
          <w:rFonts w:hint="eastAsia" w:ascii="Times New Roman" w:hAnsi="Times New Roman" w:eastAsia="方正仿宋_GBK"/>
          <w:color w:val="auto"/>
          <w:sz w:val="32"/>
          <w:u w:val="none"/>
          <w:lang w:val="en-US" w:eastAsia="zh-CN"/>
        </w:rPr>
        <w:t>2022年，全省制定发布政府规章8部、行政规范性文件586件，</w:t>
      </w:r>
      <w:r>
        <w:rPr>
          <w:rFonts w:hint="eastAsia" w:ascii="Times New Roman" w:hAnsi="Times New Roman" w:eastAsia="方正仿宋_GBK"/>
          <w:color w:val="auto"/>
          <w:sz w:val="32"/>
          <w:lang w:eastAsia="zh-CN"/>
        </w:rPr>
        <w:t>财政预决算公开面、及时率、完整性均达到100%。</w:t>
      </w:r>
      <w:r>
        <w:rPr>
          <w:rFonts w:hint="eastAsia" w:ascii="Times New Roman" w:hAnsi="Times New Roman" w:eastAsia="方正仿宋_GBK"/>
          <w:color w:val="auto"/>
          <w:sz w:val="32"/>
          <w:u w:val="none"/>
          <w:lang w:val="en-US" w:eastAsia="zh-CN"/>
        </w:rPr>
        <w:t>加大涉及市场主体、减税降费、扩大有效投资、稳就业保就业信息公开，加强政策推送和解读，</w:t>
      </w:r>
      <w:r>
        <w:rPr>
          <w:rFonts w:hint="eastAsia" w:ascii="Times New Roman" w:hAnsi="Times New Roman" w:eastAsia="方正仿宋_GBK"/>
          <w:color w:val="auto"/>
          <w:sz w:val="32"/>
          <w:lang w:eastAsia="zh-CN"/>
        </w:rPr>
        <w:t>推出《云南省中小微企业纾困政策指南》、《</w:t>
      </w:r>
      <w:r>
        <w:rPr>
          <w:rFonts w:hint="eastAsia" w:ascii="Times New Roman" w:hAnsi="Times New Roman" w:eastAsia="方正仿宋_GBK"/>
          <w:color w:val="auto"/>
          <w:sz w:val="32"/>
          <w:lang w:val="en-US" w:eastAsia="zh-CN"/>
        </w:rPr>
        <w:t>2022年降成本政策汇编</w:t>
      </w:r>
      <w:r>
        <w:rPr>
          <w:rFonts w:hint="eastAsia" w:ascii="Times New Roman" w:hAnsi="Times New Roman" w:eastAsia="方正仿宋_GBK"/>
          <w:color w:val="auto"/>
          <w:sz w:val="32"/>
          <w:lang w:eastAsia="zh-CN"/>
        </w:rPr>
        <w:t>》、《云南省金融支持稳增长保市场主体政策要点汇编》等一大批政策</w:t>
      </w:r>
      <w:r>
        <w:rPr>
          <w:rFonts w:hint="eastAsia" w:ascii="Times New Roman" w:hAnsi="Times New Roman" w:eastAsia="方正仿宋_GBK"/>
          <w:color w:val="auto"/>
          <w:sz w:val="32"/>
          <w:lang w:val="en-US" w:eastAsia="zh-CN"/>
        </w:rPr>
        <w:t>解读产品，充分运用政务新媒体推广传播，有效提升了政策知晓度和到达率。</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u w:val="single"/>
          <w:lang w:eastAsia="zh-CN"/>
        </w:rPr>
      </w:pPr>
      <w:r>
        <w:rPr>
          <w:rFonts w:hint="eastAsia" w:ascii="方正楷体_GBK" w:hAnsi="方正楷体_GBK" w:eastAsia="方正楷体_GBK" w:cs="方正楷体_GBK"/>
          <w:color w:val="auto"/>
          <w:sz w:val="32"/>
          <w:lang w:eastAsia="zh-CN"/>
        </w:rPr>
        <w:t>（二）依申请公开方面。</w:t>
      </w:r>
      <w:r>
        <w:rPr>
          <w:rFonts w:hint="eastAsia" w:ascii="Times New Roman" w:hAnsi="Times New Roman" w:eastAsia="方正仿宋_GBK"/>
          <w:color w:val="auto"/>
          <w:sz w:val="32"/>
          <w:lang w:eastAsia="zh-CN"/>
        </w:rPr>
        <w:t>健全完善政府信息依申请公开工作制度，办理答复更加规范、高效、便民。得益于政府信息主动公开和政策宣传解读力度的加大，全省政府信息公开申请受理数量呈现下降趋势，因政府信息公开申请引起的行政复议和行政诉讼件数明显减少。全省各级行政机关累计受理政府信息公开申请7162件，较</w:t>
      </w:r>
      <w:r>
        <w:rPr>
          <w:rFonts w:hint="eastAsia" w:ascii="Times New Roman" w:hAnsi="Times New Roman" w:eastAsia="方正仿宋_GBK"/>
          <w:color w:val="auto"/>
          <w:sz w:val="32"/>
          <w:lang w:val="en-US" w:eastAsia="zh-CN"/>
        </w:rPr>
        <w:t>2021</w:t>
      </w:r>
      <w:r>
        <w:rPr>
          <w:rFonts w:hint="eastAsia" w:ascii="Times New Roman" w:hAnsi="Times New Roman" w:eastAsia="方正仿宋_GBK"/>
          <w:color w:val="auto"/>
          <w:sz w:val="32"/>
          <w:lang w:eastAsia="zh-CN"/>
        </w:rPr>
        <w:t>年同比减少</w:t>
      </w:r>
      <w:r>
        <w:rPr>
          <w:rFonts w:hint="eastAsia" w:ascii="Times New Roman" w:hAnsi="Times New Roman" w:eastAsia="方正仿宋_GBK"/>
          <w:color w:val="auto"/>
          <w:sz w:val="32"/>
          <w:lang w:val="en-US" w:eastAsia="zh-CN"/>
        </w:rPr>
        <w:t>1.9</w:t>
      </w:r>
      <w:r>
        <w:rPr>
          <w:rFonts w:hint="eastAsia" w:ascii="Times New Roman" w:hAnsi="Times New Roman" w:eastAsia="方正仿宋_GBK"/>
          <w:color w:val="auto"/>
          <w:sz w:val="32"/>
          <w:lang w:eastAsia="zh-CN"/>
        </w:rPr>
        <w:t>%，依法依规答复7022件，办结率达98.05%，其中，办理结果共公开3</w:t>
      </w:r>
      <w:r>
        <w:rPr>
          <w:rFonts w:hint="eastAsia" w:ascii="Times New Roman" w:hAnsi="Times New Roman" w:eastAsia="方正仿宋_GBK"/>
          <w:color w:val="auto"/>
          <w:sz w:val="32"/>
          <w:lang w:val="en-US" w:eastAsia="zh-CN"/>
        </w:rPr>
        <w:t>742</w:t>
      </w:r>
      <w:r>
        <w:rPr>
          <w:rFonts w:hint="eastAsia" w:ascii="Times New Roman" w:hAnsi="Times New Roman" w:eastAsia="方正仿宋_GBK"/>
          <w:color w:val="auto"/>
          <w:sz w:val="32"/>
          <w:lang w:eastAsia="zh-CN"/>
        </w:rPr>
        <w:t>件（含部分公开</w:t>
      </w:r>
      <w:r>
        <w:rPr>
          <w:rFonts w:hint="eastAsia" w:ascii="Times New Roman" w:hAnsi="Times New Roman" w:eastAsia="方正仿宋_GBK"/>
          <w:color w:val="auto"/>
          <w:sz w:val="32"/>
          <w:lang w:val="en-US" w:eastAsia="zh-CN"/>
        </w:rPr>
        <w:t>875</w:t>
      </w:r>
      <w:r>
        <w:rPr>
          <w:rFonts w:hint="eastAsia" w:ascii="Times New Roman" w:hAnsi="Times New Roman" w:eastAsia="方正仿宋_GBK"/>
          <w:color w:val="auto"/>
          <w:sz w:val="32"/>
          <w:lang w:eastAsia="zh-CN"/>
        </w:rPr>
        <w:t>件），占比超53%，较好保障了公众信息需求。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方正楷体_GBK" w:hAnsi="方正楷体_GBK" w:eastAsia="方正楷体_GBK" w:cs="方正楷体_GBK"/>
          <w:color w:val="auto"/>
          <w:sz w:val="32"/>
          <w:lang w:eastAsia="zh-CN"/>
        </w:rPr>
        <w:t>（三）政府信息管理方面。</w:t>
      </w:r>
      <w:r>
        <w:rPr>
          <w:rFonts w:hint="eastAsia" w:ascii="Times New Roman" w:hAnsi="Times New Roman" w:eastAsia="方正仿宋_GBK" w:cs="Times New Roman"/>
          <w:color w:val="auto"/>
          <w:sz w:val="32"/>
          <w:lang w:eastAsia="zh-CN"/>
        </w:rPr>
        <w:t>各地各部门持续</w:t>
      </w:r>
      <w:r>
        <w:rPr>
          <w:rFonts w:hint="eastAsia" w:ascii="Times New Roman" w:hAnsi="Times New Roman" w:eastAsia="方正仿宋_GBK"/>
          <w:color w:val="auto"/>
          <w:sz w:val="32"/>
          <w:lang w:eastAsia="zh-CN"/>
        </w:rPr>
        <w:t>强化统一标准的规章库和行政规范性文件库建设，共发布现行有效政府规章259部、行政规范性文件</w:t>
      </w:r>
      <w:r>
        <w:rPr>
          <w:rFonts w:hint="eastAsia" w:ascii="Times New Roman" w:hAnsi="Times New Roman" w:eastAsia="方正仿宋_GBK"/>
          <w:color w:val="auto"/>
          <w:sz w:val="32"/>
          <w:lang w:val="en-US" w:eastAsia="zh-CN"/>
        </w:rPr>
        <w:t>4750</w:t>
      </w:r>
      <w:r>
        <w:rPr>
          <w:rFonts w:hint="eastAsia" w:ascii="Times New Roman" w:hAnsi="Times New Roman" w:eastAsia="方正仿宋_GBK"/>
          <w:color w:val="auto"/>
          <w:sz w:val="32"/>
          <w:lang w:eastAsia="zh-CN"/>
        </w:rPr>
        <w:t>件并做好动态更新调整。全面推进覆盖16个州、市人民政府和41个省直部门的政策文件互联互通工作，汇集整理政策文件4000余件，初步建成全省“政策文件库”。全年发行《云南省人民政府公报》24期、增刊2期，赠阅约6</w:t>
      </w:r>
      <w:r>
        <w:rPr>
          <w:rFonts w:hint="eastAsia" w:ascii="Times New Roman" w:hAnsi="Times New Roman" w:eastAsia="方正仿宋_GBK"/>
          <w:color w:val="auto"/>
          <w:sz w:val="32"/>
          <w:lang w:val="en-US" w:eastAsia="zh-CN"/>
        </w:rPr>
        <w:t>9.8</w:t>
      </w:r>
      <w:r>
        <w:rPr>
          <w:rFonts w:hint="eastAsia" w:ascii="Times New Roman" w:hAnsi="Times New Roman" w:eastAsia="方正仿宋_GBK"/>
          <w:color w:val="auto"/>
          <w:sz w:val="32"/>
          <w:lang w:eastAsia="zh-CN"/>
        </w:rPr>
        <w:t>万份，刊载文件资料352件；16个州、市人民政府共发行公报193期，赠阅约38</w:t>
      </w:r>
      <w:r>
        <w:rPr>
          <w:rFonts w:hint="eastAsia" w:ascii="Times New Roman" w:hAnsi="Times New Roman" w:eastAsia="方正仿宋_GBK"/>
          <w:color w:val="auto"/>
          <w:sz w:val="32"/>
          <w:lang w:val="en-US" w:eastAsia="zh-CN"/>
        </w:rPr>
        <w:t>.</w:t>
      </w:r>
      <w:r>
        <w:rPr>
          <w:rFonts w:hint="eastAsia" w:ascii="Times New Roman" w:hAnsi="Times New Roman" w:eastAsia="方正仿宋_GBK"/>
          <w:color w:val="auto"/>
          <w:sz w:val="32"/>
          <w:lang w:eastAsia="zh-CN"/>
        </w:rPr>
        <w:t>3万份。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方正楷体_GBK" w:hAnsi="方正楷体_GBK" w:eastAsia="方正楷体_GBK" w:cs="方正楷体_GBK"/>
          <w:color w:val="auto"/>
          <w:sz w:val="32"/>
          <w:lang w:eastAsia="zh-CN"/>
        </w:rPr>
        <w:t>（四）政府信息公开平台建设方面。</w:t>
      </w:r>
      <w:r>
        <w:rPr>
          <w:rFonts w:hint="eastAsia" w:ascii="Times New Roman" w:hAnsi="Times New Roman" w:eastAsia="方正仿宋_GBK"/>
          <w:color w:val="auto"/>
          <w:sz w:val="32"/>
          <w:lang w:eastAsia="zh-CN"/>
        </w:rPr>
        <w:t>改版升级云南省人民政府门户网站，部署“智能问答”平台，推动与云南政务服务网融合发展，云南省人民政府门户网站“总门户”地位进一步突显。全省</w:t>
      </w:r>
      <w:r>
        <w:rPr>
          <w:rFonts w:hint="eastAsia" w:ascii="Times New Roman" w:hAnsi="Times New Roman" w:eastAsia="方正仿宋_GBK"/>
          <w:color w:val="auto"/>
          <w:sz w:val="32"/>
          <w:lang w:val="en-US" w:eastAsia="zh-CN"/>
        </w:rPr>
        <w:t>285个政府</w:t>
      </w:r>
      <w:r>
        <w:rPr>
          <w:rFonts w:hint="eastAsia" w:ascii="Times New Roman" w:hAnsi="Times New Roman" w:eastAsia="方正仿宋_GBK"/>
          <w:color w:val="auto"/>
          <w:sz w:val="32"/>
          <w:lang w:eastAsia="zh-CN"/>
        </w:rPr>
        <w:t>网站全面支持互联网协议第6版。持续开展政府系统政务新媒体账号清查工作，截至</w:t>
      </w:r>
      <w:r>
        <w:rPr>
          <w:rFonts w:hint="eastAsia" w:ascii="Times New Roman" w:hAnsi="Times New Roman" w:eastAsia="方正仿宋_GBK"/>
          <w:color w:val="auto"/>
          <w:sz w:val="32"/>
          <w:lang w:val="en-US" w:eastAsia="zh-CN"/>
        </w:rPr>
        <w:t>2022年12月31日，共有4287个账号在“全国政务新媒体信息报送系统”登记备案。</w:t>
      </w:r>
      <w:r>
        <w:rPr>
          <w:rFonts w:hint="eastAsia" w:ascii="Times New Roman" w:hAnsi="Times New Roman" w:eastAsia="方正仿宋_GBK"/>
          <w:color w:val="auto"/>
          <w:sz w:val="32"/>
          <w:lang w:eastAsia="zh-CN"/>
        </w:rPr>
        <w:t>全省</w:t>
      </w:r>
      <w:r>
        <w:rPr>
          <w:rFonts w:hint="eastAsia" w:ascii="Times New Roman" w:hAnsi="Times New Roman" w:eastAsia="方正仿宋_GBK"/>
          <w:color w:val="auto"/>
          <w:sz w:val="32"/>
          <w:lang w:val="en-US" w:eastAsia="zh-CN"/>
        </w:rPr>
        <w:t>12345政务服务便民热线与110报警服务台、12388纪检监督举报电话实现对接联动。举办43场省级重大决策、重要政策发布解读类新闻发布会，集中释放权威信息，主动引导舆论，提振市场信心。</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方正楷体_GBK" w:hAnsi="方正楷体_GBK" w:eastAsia="方正楷体_GBK" w:cs="方正楷体_GBK"/>
          <w:color w:val="auto"/>
          <w:sz w:val="32"/>
          <w:lang w:eastAsia="zh-CN"/>
        </w:rPr>
        <w:t>（五）监督保障方面。</w:t>
      </w:r>
      <w:r>
        <w:rPr>
          <w:rFonts w:hint="eastAsia" w:ascii="Times New Roman" w:hAnsi="Times New Roman" w:eastAsia="方正仿宋_GBK" w:cs="Times New Roman"/>
          <w:color w:val="auto"/>
          <w:sz w:val="32"/>
          <w:lang w:eastAsia="zh-CN"/>
        </w:rPr>
        <w:t>出台《</w:t>
      </w:r>
      <w:r>
        <w:rPr>
          <w:rFonts w:hint="eastAsia" w:ascii="Times New Roman" w:hAnsi="Times New Roman" w:eastAsia="方正仿宋_GBK" w:cs="Times New Roman"/>
          <w:color w:val="auto"/>
          <w:sz w:val="32"/>
          <w:lang w:val="en-US" w:eastAsia="zh-CN"/>
        </w:rPr>
        <w:t>2022年云南省政务公开工作要点</w:t>
      </w:r>
      <w:r>
        <w:rPr>
          <w:rFonts w:hint="eastAsia" w:ascii="Times New Roman" w:hAnsi="Times New Roman" w:eastAsia="方正仿宋_GBK" w:cs="Times New Roman"/>
          <w:color w:val="auto"/>
          <w:sz w:val="32"/>
          <w:lang w:eastAsia="zh-CN"/>
        </w:rPr>
        <w:t>》，对国务院办公厅政务公开工作要点进行细化，明确云南省重点任务、工作措施、责任单位和完成时限。</w:t>
      </w:r>
      <w:r>
        <w:rPr>
          <w:rFonts w:hint="eastAsia" w:ascii="Times New Roman" w:hAnsi="Times New Roman" w:eastAsia="方正仿宋_GBK"/>
          <w:color w:val="auto"/>
          <w:sz w:val="32"/>
          <w:lang w:eastAsia="zh-CN"/>
        </w:rPr>
        <w:t>健全完善全省政府网站和政府系统政务新媒体“日监测、月检查、季通报、年考核”监管机制，由各级政府办公厅（室）分级主管主抓，各政府网站和政务新媒体主办单位具体负责的监管工作格局已经形成。完成国务院办公厅</w:t>
      </w:r>
      <w:r>
        <w:rPr>
          <w:rFonts w:hint="eastAsia" w:ascii="Times New Roman" w:hAnsi="Times New Roman" w:eastAsia="方正仿宋_GBK"/>
          <w:color w:val="auto"/>
          <w:sz w:val="32"/>
          <w:lang w:val="en-US" w:eastAsia="zh-CN"/>
        </w:rPr>
        <w:t>2021年度</w:t>
      </w:r>
      <w:r>
        <w:rPr>
          <w:rFonts w:hint="eastAsia" w:ascii="Times New Roman" w:hAnsi="Times New Roman" w:eastAsia="方正仿宋_GBK"/>
          <w:color w:val="auto"/>
          <w:sz w:val="32"/>
          <w:lang w:eastAsia="zh-CN"/>
        </w:rPr>
        <w:t>政务公开第三方评估、政府网站和政务新媒体监管工作检查指出问题的整改工作，组织开展全省政务公开工作年度考核和省级政务公开第三方评估，进一步加强结果运用，以考核评估促规范、促提升。</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宋体" w:hAnsi="宋体" w:eastAsia="宋体" w:cs="宋体"/>
          <w:i w:val="0"/>
          <w:caps w:val="0"/>
          <w:color w:val="auto"/>
          <w:spacing w:val="0"/>
          <w:sz w:val="24"/>
          <w:szCs w:val="24"/>
        </w:rPr>
      </w:pPr>
      <w:r>
        <w:rPr>
          <w:rFonts w:hint="eastAsia" w:ascii="方正黑体_GBK" w:hAnsi="方正黑体_GBK" w:eastAsia="方正黑体_GBK" w:cs="方正黑体_GBK"/>
          <w:color w:val="auto"/>
          <w:sz w:val="32"/>
        </w:rPr>
        <w:t>二、主动公开政府信息情况</w:t>
      </w:r>
    </w:p>
    <w:tbl>
      <w:tblPr>
        <w:tblStyle w:val="7"/>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8</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8</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Times New Roman"/>
                <w:color w:val="auto"/>
                <w:sz w:val="20"/>
                <w:szCs w:val="20"/>
                <w:lang w:val="en-US" w:eastAsia="zh-CN"/>
              </w:rPr>
            </w:pPr>
            <w:r>
              <w:rPr>
                <w:rFonts w:hint="eastAsia" w:ascii="宋体" w:hAnsi="宋体" w:eastAsia="宋体" w:cs="Times New Roman"/>
                <w:color w:val="auto"/>
                <w:sz w:val="20"/>
                <w:szCs w:val="20"/>
                <w:lang w:val="en-US" w:eastAsia="zh-CN"/>
              </w:rPr>
              <w:t>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Times New Roman"/>
                <w:color w:val="auto"/>
                <w:lang w:val="en-US" w:eastAsia="zh-CN"/>
              </w:rPr>
            </w:pPr>
            <w:r>
              <w:rPr>
                <w:rFonts w:hint="eastAsia" w:ascii="宋体" w:hAnsi="宋体" w:eastAsia="宋体" w:cs="Times New Roman"/>
                <w:color w:val="auto"/>
                <w:lang w:val="en-US" w:eastAsia="zh-CN"/>
              </w:rPr>
              <w:t>58</w:t>
            </w:r>
            <w:r>
              <w:rPr>
                <w:rFonts w:hint="eastAsia" w:ascii="宋体" w:hAnsi="宋体" w:cs="Times New Roman"/>
                <w:color w:val="auto"/>
                <w:lang w:val="en-US" w:eastAsia="zh-CN"/>
              </w:rPr>
              <w:t>6</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Times New Roman"/>
                <w:color w:val="auto"/>
                <w:lang w:val="en-US" w:eastAsia="zh-CN"/>
              </w:rPr>
            </w:pPr>
            <w:r>
              <w:rPr>
                <w:rFonts w:hint="eastAsia" w:ascii="宋体" w:hAnsi="宋体" w:eastAsia="宋体" w:cs="Times New Roman"/>
                <w:color w:val="auto"/>
                <w:lang w:val="en-US" w:eastAsia="zh-CN"/>
              </w:rPr>
              <w:t>310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Times New Roman"/>
                <w:color w:val="auto"/>
                <w:sz w:val="20"/>
                <w:szCs w:val="20"/>
                <w:lang w:val="en-US" w:eastAsia="zh-CN"/>
              </w:rPr>
            </w:pPr>
            <w:r>
              <w:rPr>
                <w:rFonts w:hint="eastAsia" w:ascii="宋体" w:hAnsi="宋体" w:cs="Times New Roman"/>
                <w:color w:val="auto"/>
                <w:sz w:val="20"/>
                <w:szCs w:val="20"/>
                <w:lang w:val="en-US" w:eastAsia="zh-CN"/>
              </w:rPr>
              <w:t>4750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olor w:val="auto"/>
                <w:sz w:val="20"/>
                <w:szCs w:val="20"/>
                <w:lang w:val="en-US"/>
              </w:rPr>
            </w:pPr>
            <w:r>
              <w:rPr>
                <w:rFonts w:hint="eastAsia" w:ascii="宋体" w:hAnsi="宋体" w:eastAsia="宋体"/>
                <w:color w:val="auto"/>
                <w:sz w:val="20"/>
                <w:szCs w:val="20"/>
                <w:lang w:val="en-US" w:eastAsia="zh-CN"/>
              </w:rPr>
              <w:t>9640821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sz w:val="20"/>
                <w:szCs w:val="20"/>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ascii="宋体" w:hAnsi="宋体" w:eastAsia="宋体"/>
                <w:color w:val="auto"/>
                <w:sz w:val="20"/>
                <w:szCs w:val="20"/>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宋体" w:hAnsi="宋体" w:eastAsia="宋体" w:cs="Times New Roman"/>
                <w:color w:val="auto"/>
                <w:kern w:val="0"/>
                <w:sz w:val="20"/>
                <w:szCs w:val="20"/>
                <w:lang w:val="en-US" w:eastAsia="zh-CN" w:bidi="ar"/>
              </w:rPr>
            </w:pPr>
            <w:r>
              <w:rPr>
                <w:rFonts w:hint="eastAsia" w:ascii="宋体" w:hAnsi="宋体" w:eastAsia="宋体"/>
                <w:color w:val="auto"/>
                <w:sz w:val="20"/>
                <w:szCs w:val="20"/>
                <w:lang w:val="en-US" w:eastAsia="zh-CN"/>
              </w:rPr>
              <w:t>9230681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default" w:ascii="宋体" w:hAnsi="宋体" w:eastAsia="宋体" w:cs="Times New Roman"/>
                <w:color w:val="auto"/>
                <w:kern w:val="0"/>
                <w:sz w:val="20"/>
                <w:szCs w:val="20"/>
                <w:lang w:val="en-US" w:eastAsia="zh-CN" w:bidi="ar"/>
              </w:rPr>
            </w:pPr>
            <w:r>
              <w:rPr>
                <w:rFonts w:hint="eastAsia" w:ascii="宋体" w:hAnsi="宋体" w:eastAsia="宋体"/>
                <w:color w:val="auto"/>
                <w:sz w:val="20"/>
                <w:szCs w:val="20"/>
                <w:lang w:val="en-US" w:eastAsia="zh-CN"/>
              </w:rPr>
              <w:t>338151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sz w:val="20"/>
                <w:szCs w:val="20"/>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ascii="宋体" w:hAnsi="宋体" w:eastAsia="宋体"/>
                <w:color w:val="auto"/>
                <w:sz w:val="20"/>
                <w:szCs w:val="20"/>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rFonts w:ascii="宋体" w:hAnsi="宋体" w:eastAsia="宋体"/>
                <w:color w:val="auto"/>
              </w:rPr>
            </w:pPr>
            <w:r>
              <w:rPr>
                <w:rFonts w:hint="eastAsia" w:ascii="宋体" w:hAnsi="宋体" w:eastAsia="宋体" w:cs="宋体"/>
                <w:color w:val="auto"/>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eastAsia" w:ascii="宋体" w:hAnsi="宋体" w:eastAsia="宋体"/>
                <w:color w:val="auto"/>
                <w:sz w:val="20"/>
                <w:szCs w:val="20"/>
                <w:lang w:val="en-US" w:eastAsia="zh-CN"/>
              </w:rPr>
            </w:pPr>
            <w:r>
              <w:rPr>
                <w:rFonts w:hint="eastAsia" w:ascii="宋体" w:hAnsi="宋体" w:eastAsia="宋体"/>
                <w:color w:val="auto"/>
                <w:sz w:val="20"/>
                <w:szCs w:val="20"/>
                <w:lang w:val="en-US" w:eastAsia="zh-CN"/>
              </w:rPr>
              <w:t>1381596</w:t>
            </w:r>
          </w:p>
        </w:tc>
      </w:tr>
    </w:tbl>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宋体" w:hAnsi="宋体" w:eastAsia="宋体" w:cs="宋体"/>
          <w:i w:val="0"/>
          <w:caps w:val="0"/>
          <w:color w:val="auto"/>
          <w:spacing w:val="0"/>
          <w:sz w:val="24"/>
          <w:szCs w:val="24"/>
        </w:rPr>
      </w:pPr>
      <w:r>
        <w:rPr>
          <w:rFonts w:hint="eastAsia" w:ascii="方正黑体_GBK" w:hAnsi="方正黑体_GBK" w:eastAsia="方正黑体_GBK" w:cs="方正黑体_GBK"/>
          <w:color w:val="auto"/>
          <w:sz w:val="32"/>
        </w:rPr>
        <w:t>三、收到和处理政府信息公开申请情况</w:t>
      </w:r>
    </w:p>
    <w:tbl>
      <w:tblPr>
        <w:tblStyle w:val="7"/>
        <w:tblW w:w="9748"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31" w:type="dxa"/>
            <w:gridSpan w:val="3"/>
            <w:vMerge w:val="restart"/>
            <w:tcBorders>
              <w:tl2br w:val="nil"/>
              <w:tr2bl w:val="nil"/>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ascii="楷体" w:hAnsi="楷体" w:eastAsia="楷体" w:cs="楷体"/>
                <w:color w:val="auto"/>
                <w:kern w:val="0"/>
                <w:sz w:val="20"/>
                <w:szCs w:val="20"/>
                <w:lang w:val="en-US" w:eastAsia="zh-CN" w:bidi="ar"/>
              </w:rPr>
              <w:t>（本列数据的勾稽关系为：第一项加第二项之和，等于第三项加第四项之和）</w:t>
            </w:r>
          </w:p>
        </w:tc>
        <w:tc>
          <w:tcPr>
            <w:tcW w:w="4817" w:type="dxa"/>
            <w:gridSpan w:val="7"/>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31" w:type="dxa"/>
            <w:gridSpan w:val="3"/>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688"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0" w:type="dxa"/>
            <w:gridSpan w:val="5"/>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31" w:type="dxa"/>
            <w:gridSpan w:val="3"/>
            <w:vMerge w:val="continue"/>
            <w:tcBorders>
              <w:tl2br w:val="nil"/>
              <w:tr2bl w:val="nil"/>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68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31" w:type="dxa"/>
            <w:gridSpan w:val="3"/>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一、本年新收政府信息公开申请数量</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6576</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280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19</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29</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31" w:type="dxa"/>
            <w:gridSpan w:val="3"/>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二、上年结转政府信息公开申请数量</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158</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三、本年度办理结果</w:t>
            </w:r>
          </w:p>
        </w:tc>
        <w:tc>
          <w:tcPr>
            <w:tcW w:w="4163" w:type="dxa"/>
            <w:gridSpan w:val="2"/>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（一）予以公开</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2672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15</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36</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23</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2867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4163" w:type="dxa"/>
            <w:gridSpan w:val="2"/>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（二）部分公开</w:t>
            </w:r>
            <w:r>
              <w:rPr>
                <w:rFonts w:hint="eastAsia" w:ascii="楷体" w:hAnsi="楷体" w:eastAsia="楷体" w:cs="楷体"/>
                <w:color w:val="auto"/>
                <w:kern w:val="0"/>
                <w:sz w:val="20"/>
                <w:szCs w:val="20"/>
                <w:lang w:val="en-US" w:eastAsia="zh-CN" w:bidi="ar"/>
              </w:rPr>
              <w:t>（区分处理的，只计这一情形，不计其他情形）</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813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（三）不予公开</w:t>
            </w: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1.属于国家秘密</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56</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2.其他法律行政法规禁止公开</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3.危及“三安全一稳定”</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26</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4.保护第三方合法权益</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5.属于三类内部事务信息</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6.属于四类过程性信息</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55</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7.属于行政执法案卷</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19</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8.属于行政查询事项</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（四）无法提供</w:t>
            </w: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1.本机关不掌握相关政府信息</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1614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78</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16</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1717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2.没有现成信息需要另行制作</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3.补正后申请内容仍不明确</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（五）不予处理</w:t>
            </w: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1.信访举报投诉类申请</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243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2.重复申请</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107</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3.要求提供公开出版物</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4.无正当理由大量反复申请</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68</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79" w:hRule="atLeast"/>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both"/>
              <w:textAlignment w:val="auto"/>
              <w:rPr>
                <w:color w:val="auto"/>
              </w:rPr>
            </w:pPr>
            <w:r>
              <w:rPr>
                <w:rFonts w:hint="eastAsia" w:ascii="宋体" w:hAnsi="宋体" w:eastAsia="宋体" w:cs="宋体"/>
                <w:color w:val="auto"/>
                <w:kern w:val="0"/>
                <w:sz w:val="20"/>
                <w:szCs w:val="20"/>
                <w:lang w:val="en-US" w:eastAsia="zh-CN" w:bidi="ar"/>
              </w:rPr>
              <w:t>5.要求行政机关确认或重新出具已获取信息</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restart"/>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（六）其他处理</w:t>
            </w:r>
          </w:p>
        </w:tc>
        <w:tc>
          <w:tcPr>
            <w:tcW w:w="3220"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both"/>
              <w:textAlignment w:val="auto"/>
              <w:rPr>
                <w:color w:val="auto"/>
              </w:rPr>
            </w:pPr>
            <w:r>
              <w:rPr>
                <w:rFonts w:hint="eastAsia" w:ascii="宋体" w:hAnsi="宋体" w:eastAsia="宋体" w:cs="宋体"/>
                <w:color w:val="auto"/>
                <w:kern w:val="0"/>
                <w:sz w:val="20"/>
                <w:szCs w:val="20"/>
                <w:lang w:val="en-US" w:eastAsia="zh-CN" w:bidi="ar"/>
              </w:rPr>
              <w:t>1.申请人无正当理由逾期不补正、行政机关不再处理其政府信息公开申请</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both"/>
              <w:textAlignment w:val="auto"/>
              <w:rPr>
                <w:color w:val="auto"/>
              </w:rPr>
            </w:pPr>
            <w:r>
              <w:rPr>
                <w:rFonts w:hint="eastAsia" w:ascii="宋体" w:hAnsi="宋体" w:eastAsia="宋体" w:cs="宋体"/>
                <w:color w:val="auto"/>
                <w:kern w:val="0"/>
                <w:sz w:val="20"/>
                <w:szCs w:val="20"/>
                <w:lang w:val="en-US" w:eastAsia="zh-CN" w:bidi="ar"/>
              </w:rPr>
              <w:t>2.申请人逾期未按收费通知要求缴纳费用、行政机关不再处理其政府信息公开申请</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943"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3220"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3.其他</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444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68" w:type="dxa"/>
            <w:vMerge w:val="continue"/>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color w:val="auto"/>
                <w:sz w:val="24"/>
                <w:szCs w:val="24"/>
              </w:rPr>
            </w:pPr>
          </w:p>
        </w:tc>
        <w:tc>
          <w:tcPr>
            <w:tcW w:w="4163" w:type="dxa"/>
            <w:gridSpan w:val="2"/>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（七）总计</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6599</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279</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32</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63</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29</w:t>
            </w:r>
          </w:p>
        </w:tc>
        <w:tc>
          <w:tcPr>
            <w:tcW w:w="689"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7022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4931" w:type="dxa"/>
            <w:gridSpan w:val="3"/>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left"/>
              <w:textAlignment w:val="auto"/>
              <w:rPr>
                <w:color w:val="auto"/>
              </w:rPr>
            </w:pPr>
            <w:r>
              <w:rPr>
                <w:rFonts w:hint="eastAsia" w:ascii="宋体" w:hAnsi="宋体" w:eastAsia="宋体" w:cs="宋体"/>
                <w:color w:val="auto"/>
                <w:kern w:val="0"/>
                <w:sz w:val="20"/>
                <w:szCs w:val="20"/>
                <w:lang w:val="en-US" w:eastAsia="zh-CN" w:bidi="ar"/>
              </w:rPr>
              <w:t>四、结转下年度继续办理</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135</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8" w:type="dxa"/>
            <w:tcBorders>
              <w:tl2br w:val="nil"/>
              <w:tr2bl w:val="nil"/>
            </w:tcBorders>
            <w:noWrap w:val="0"/>
            <w:tcMar>
              <w:left w:w="57" w:type="dxa"/>
              <w:right w:w="57"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w:t>
            </w:r>
          </w:p>
        </w:tc>
        <w:tc>
          <w:tcPr>
            <w:tcW w:w="689" w:type="dxa"/>
            <w:tcBorders>
              <w:tl2br w:val="nil"/>
              <w:tr2bl w:val="nil"/>
            </w:tcBorders>
            <w:noWrap w:val="0"/>
            <w:tcMar>
              <w:left w:w="57" w:type="dxa"/>
              <w:right w:w="57"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140</w:t>
            </w:r>
          </w:p>
        </w:tc>
      </w:tr>
    </w:tbl>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color w:val="auto"/>
          <w:sz w:val="32"/>
        </w:rPr>
      </w:pPr>
      <w:r>
        <w:rPr>
          <w:rFonts w:hint="eastAsia" w:ascii="方正黑体_GBK" w:hAnsi="方正黑体_GBK" w:eastAsia="方正黑体_GBK" w:cs="方正黑体_GBK"/>
          <w:color w:val="auto"/>
          <w:sz w:val="32"/>
        </w:rPr>
        <w:t>四、政府信息公开行政复议、行政诉讼情况</w:t>
      </w:r>
    </w:p>
    <w:tbl>
      <w:tblPr>
        <w:tblStyle w:val="7"/>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hAnsi="宋体" w:eastAsia="宋体" w:cs="宋体"/>
                <w:color w:val="auto"/>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hAnsi="宋体" w:eastAsia="宋体" w:cs="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hAnsi="宋体" w:eastAsia="宋体" w:cs="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hAnsi="宋体" w:eastAsia="宋体" w:cs="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textAlignment w:val="auto"/>
              <w:rPr>
                <w:rFonts w:hint="eastAsia" w:ascii="宋体" w:hAnsi="宋体" w:eastAsia="宋体" w:cs="宋体"/>
                <w:color w:val="auto"/>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结果</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其他</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尚未</w:t>
            </w:r>
            <w:r>
              <w:rPr>
                <w:rFonts w:hint="eastAsia" w:ascii="宋体" w:hAnsi="宋体" w:eastAsia="宋体" w:cs="宋体"/>
                <w:color w:val="auto"/>
                <w:kern w:val="0"/>
                <w:sz w:val="20"/>
                <w:szCs w:val="20"/>
                <w:lang w:val="en-US" w:eastAsia="zh-CN" w:bidi="ar"/>
              </w:rPr>
              <w:br w:type="textWrapping"/>
            </w: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87</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38</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25</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16</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166</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27</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9</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18</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59</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34</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53</w:t>
            </w:r>
          </w:p>
        </w:tc>
      </w:tr>
    </w:tbl>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lang w:eastAsia="zh-CN"/>
        </w:rPr>
      </w:pPr>
      <w:r>
        <w:rPr>
          <w:rFonts w:hint="eastAsia" w:ascii="方正黑体_GBK" w:hAnsi="方正黑体_GBK" w:eastAsia="方正黑体_GBK" w:cs="方正黑体_GBK"/>
          <w:color w:val="auto"/>
          <w:sz w:val="32"/>
          <w:lang w:eastAsia="zh-CN"/>
        </w:rPr>
        <w:t>五、存在的主要问题及改进措施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Times New Roman" w:hAnsi="Times New Roman" w:eastAsia="方正仿宋_GBK"/>
          <w:color w:val="auto"/>
          <w:sz w:val="32"/>
          <w:lang w:val="en-US" w:eastAsia="zh-CN"/>
        </w:rPr>
        <w:t>2022</w:t>
      </w:r>
      <w:r>
        <w:rPr>
          <w:rFonts w:hint="eastAsia" w:ascii="Times New Roman" w:hAnsi="Times New Roman" w:eastAsia="方正仿宋_GBK"/>
          <w:color w:val="auto"/>
          <w:sz w:val="32"/>
          <w:lang w:eastAsia="zh-CN"/>
        </w:rPr>
        <w:t>年，全省各级各部门政务公开工作取得新进展新成效，但问题和不足依然存在，主要为：一是对重要政策的解读还不够深入、解读质量还不够高；二是民生重点领域信息公开的精细度有待进一步深化；三是政府信息公开在线申请渠道建设较为滞后，申请人多头申请的情况仍然突出；四是基层政务公开的标准化规范化水平需继续加强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Times New Roman" w:hAnsi="Times New Roman" w:eastAsia="方正仿宋_GBK"/>
          <w:color w:val="auto"/>
          <w:sz w:val="32"/>
          <w:lang w:eastAsia="zh-CN"/>
        </w:rPr>
        <w:t>下一步改进措施：一是深化政策发布和解读回应工作。加强制度建设，完善政策解读工作管理规范，持续推进多元化、全方位、立体式的解读，进一步拓宽推广渠道，提升政策解读整体水平。二是深入推进民生重点领域信息公开。督促指导各级各部门优化政府网站“政府信息公开平台”栏目设置，聚焦民生重点领域及时、集中、规范发布有关信息内容，不断提升公开实效。三是推进云南省政府信息依申请公开平台升级改造，提高系统容量，优化系统功能，实现在线申请全省“一张网”，用信息化为服务水平提升赋能。推动政府信息公开申请受理机关编制工作清单，引导公众准确提交申请，着力破解多头申请、重复办理等问题。四是提升基层政务公开事项标准目录应用水平。督促指导基层政府及时更新调整完善政务公开事项标准目录，推动公开目录与信息公开有效衔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方正黑体_GBK" w:hAnsi="方正黑体_GBK" w:eastAsia="方正黑体_GBK" w:cs="方正黑体_GBK"/>
          <w:color w:val="auto"/>
          <w:sz w:val="32"/>
          <w:lang w:eastAsia="zh-CN"/>
        </w:rPr>
        <w:t>六、其他需要报告的事项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r>
        <w:rPr>
          <w:rFonts w:hint="eastAsia" w:ascii="Times New Roman" w:hAnsi="Times New Roman" w:eastAsia="方正仿宋_GBK"/>
          <w:color w:val="auto"/>
          <w:sz w:val="32"/>
          <w:lang w:eastAsia="zh-CN"/>
        </w:rPr>
        <w:t>依据《政府信息公开信息处理费管理办法》规定，202</w:t>
      </w:r>
      <w:r>
        <w:rPr>
          <w:rFonts w:hint="eastAsia" w:ascii="Times New Roman" w:hAnsi="Times New Roman" w:eastAsia="方正仿宋_GBK"/>
          <w:color w:val="auto"/>
          <w:sz w:val="32"/>
          <w:lang w:val="en-US" w:eastAsia="zh-CN"/>
        </w:rPr>
        <w:t>2</w:t>
      </w:r>
      <w:r>
        <w:rPr>
          <w:rFonts w:hint="eastAsia" w:ascii="Times New Roman" w:hAnsi="Times New Roman" w:eastAsia="方正仿宋_GBK"/>
          <w:color w:val="auto"/>
          <w:sz w:val="32"/>
          <w:lang w:eastAsia="zh-CN"/>
        </w:rPr>
        <w:t>年度全省各级行政机关未收取政府信息处理费。</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olor w:val="auto"/>
          <w:sz w:val="32"/>
          <w:lang w:eastAsia="zh-CN"/>
        </w:rPr>
      </w:pPr>
    </w:p>
    <w:p>
      <w:pPr>
        <w:rPr>
          <w:rFonts w:hint="eastAsia"/>
        </w:rPr>
      </w:pPr>
      <w:bookmarkStart w:id="0" w:name="_GoBack"/>
      <w:bookmarkEnd w:id="0"/>
    </w:p>
    <w:sectPr>
      <w:footerReference r:id="rId3" w:type="default"/>
      <w:pgSz w:w="11906" w:h="16838"/>
      <w:pgMar w:top="2098" w:right="1474" w:bottom="1871"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eastAsiaTheme="minorEastAsia"/>
                              <w:sz w:val="28"/>
                              <w:lang w:val="en-US" w:eastAsia="zh-CN"/>
                            </w:rPr>
                          </w:pPr>
                          <w:r>
                            <w:rPr>
                              <w:rFonts w:hint="eastAsia"/>
                              <w:sz w:val="28"/>
                              <w:lang w:eastAsia="zh-CN"/>
                            </w:rPr>
                            <w:t>—</w:t>
                          </w:r>
                          <w:r>
                            <w:rPr>
                              <w:rFonts w:hint="eastAsia"/>
                              <w:sz w:val="28"/>
                              <w:lang w:val="en-US" w:eastAsia="zh-CN"/>
                            </w:rPr>
                            <w:t xml:space="preserve"> </w:t>
                          </w: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r>
                            <w:rPr>
                              <w:rFonts w:hint="eastAsia"/>
                              <w:sz w:val="28"/>
                              <w:lang w:val="en-US" w:eastAsia="zh-CN"/>
                            </w:rPr>
                            <w:t xml:space="preserve"> </w:t>
                          </w:r>
                          <w:r>
                            <w:rPr>
                              <w:rFonts w:hint="eastAsia"/>
                              <w:sz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eastAsiaTheme="minorEastAsia"/>
                        <w:sz w:val="28"/>
                        <w:lang w:val="en-US" w:eastAsia="zh-CN"/>
                      </w:rPr>
                    </w:pPr>
                    <w:r>
                      <w:rPr>
                        <w:rFonts w:hint="eastAsia"/>
                        <w:sz w:val="28"/>
                        <w:lang w:eastAsia="zh-CN"/>
                      </w:rPr>
                      <w:t>—</w:t>
                    </w:r>
                    <w:r>
                      <w:rPr>
                        <w:rFonts w:hint="eastAsia"/>
                        <w:sz w:val="28"/>
                        <w:lang w:val="en-US" w:eastAsia="zh-CN"/>
                      </w:rPr>
                      <w:t xml:space="preserve"> </w:t>
                    </w:r>
                    <w:r>
                      <w:rPr>
                        <w:rFonts w:hint="eastAsia"/>
                        <w:sz w:val="28"/>
                        <w:lang w:eastAsia="zh-CN"/>
                      </w:rPr>
                      <w:fldChar w:fldCharType="begin"/>
                    </w:r>
                    <w:r>
                      <w:rPr>
                        <w:rFonts w:hint="eastAsia"/>
                        <w:sz w:val="28"/>
                        <w:lang w:eastAsia="zh-CN"/>
                      </w:rPr>
                      <w:instrText xml:space="preserve"> PAGE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r>
                      <w:rPr>
                        <w:rFonts w:hint="eastAsia"/>
                        <w:sz w:val="28"/>
                        <w:lang w:val="en-US" w:eastAsia="zh-CN"/>
                      </w:rPr>
                      <w:t xml:space="preserve"> </w:t>
                    </w:r>
                    <w:r>
                      <w:rPr>
                        <w:rFonts w:hint="eastAsia"/>
                        <w:sz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6A1F"/>
    <w:rsid w:val="002221FB"/>
    <w:rsid w:val="009225BB"/>
    <w:rsid w:val="00D87EBC"/>
    <w:rsid w:val="02F82B08"/>
    <w:rsid w:val="031940BB"/>
    <w:rsid w:val="03627B41"/>
    <w:rsid w:val="03DE7A6A"/>
    <w:rsid w:val="05DF049E"/>
    <w:rsid w:val="064C7FD4"/>
    <w:rsid w:val="06BD137A"/>
    <w:rsid w:val="077E2F54"/>
    <w:rsid w:val="08372D18"/>
    <w:rsid w:val="08A06A1F"/>
    <w:rsid w:val="09A20D7C"/>
    <w:rsid w:val="09D504FC"/>
    <w:rsid w:val="0A2D474B"/>
    <w:rsid w:val="0B597EFA"/>
    <w:rsid w:val="0B645030"/>
    <w:rsid w:val="0C695F18"/>
    <w:rsid w:val="0C8D6E3F"/>
    <w:rsid w:val="0D05463E"/>
    <w:rsid w:val="0DCB3A0F"/>
    <w:rsid w:val="0DFA6E4F"/>
    <w:rsid w:val="0F3E5E90"/>
    <w:rsid w:val="0FAB669F"/>
    <w:rsid w:val="105F5C85"/>
    <w:rsid w:val="11F544E7"/>
    <w:rsid w:val="133C4173"/>
    <w:rsid w:val="139B5E60"/>
    <w:rsid w:val="14161041"/>
    <w:rsid w:val="143F2BED"/>
    <w:rsid w:val="152A7A1D"/>
    <w:rsid w:val="1724121C"/>
    <w:rsid w:val="17C57FC5"/>
    <w:rsid w:val="18065FE7"/>
    <w:rsid w:val="197D0D06"/>
    <w:rsid w:val="1A3D4A6B"/>
    <w:rsid w:val="1BDE3FC1"/>
    <w:rsid w:val="1E606E01"/>
    <w:rsid w:val="1E7D391B"/>
    <w:rsid w:val="1F031CF3"/>
    <w:rsid w:val="1F522AD6"/>
    <w:rsid w:val="20736714"/>
    <w:rsid w:val="21F34FE5"/>
    <w:rsid w:val="23AB697A"/>
    <w:rsid w:val="24D13813"/>
    <w:rsid w:val="25633758"/>
    <w:rsid w:val="2578210A"/>
    <w:rsid w:val="2648568A"/>
    <w:rsid w:val="26577EF5"/>
    <w:rsid w:val="26A47ED8"/>
    <w:rsid w:val="26A77ED5"/>
    <w:rsid w:val="26B77BEC"/>
    <w:rsid w:val="26F31AC4"/>
    <w:rsid w:val="2704679B"/>
    <w:rsid w:val="27F25677"/>
    <w:rsid w:val="28191104"/>
    <w:rsid w:val="2966220E"/>
    <w:rsid w:val="29764F78"/>
    <w:rsid w:val="299B215B"/>
    <w:rsid w:val="2A5D4805"/>
    <w:rsid w:val="2AB22B75"/>
    <w:rsid w:val="2B9E74D6"/>
    <w:rsid w:val="2F7028D0"/>
    <w:rsid w:val="31807341"/>
    <w:rsid w:val="31950990"/>
    <w:rsid w:val="31F61BB8"/>
    <w:rsid w:val="325F7050"/>
    <w:rsid w:val="333E3CD6"/>
    <w:rsid w:val="33C41CC7"/>
    <w:rsid w:val="3430463D"/>
    <w:rsid w:val="34566837"/>
    <w:rsid w:val="3AA74578"/>
    <w:rsid w:val="3B55466E"/>
    <w:rsid w:val="3B724903"/>
    <w:rsid w:val="3B7A0DBD"/>
    <w:rsid w:val="3C986A9A"/>
    <w:rsid w:val="3CD16207"/>
    <w:rsid w:val="3D626ECE"/>
    <w:rsid w:val="3D841F36"/>
    <w:rsid w:val="3D8A1538"/>
    <w:rsid w:val="3E0A7EB9"/>
    <w:rsid w:val="3ED02794"/>
    <w:rsid w:val="3EDB6502"/>
    <w:rsid w:val="3F4D7AFD"/>
    <w:rsid w:val="42532B94"/>
    <w:rsid w:val="42B2662D"/>
    <w:rsid w:val="43875C2B"/>
    <w:rsid w:val="438E59E2"/>
    <w:rsid w:val="43CB18F8"/>
    <w:rsid w:val="457D2A27"/>
    <w:rsid w:val="458138DD"/>
    <w:rsid w:val="45DF3A61"/>
    <w:rsid w:val="489F024B"/>
    <w:rsid w:val="495F643E"/>
    <w:rsid w:val="498E6DE6"/>
    <w:rsid w:val="49DB5EA8"/>
    <w:rsid w:val="4B4D5545"/>
    <w:rsid w:val="4DB12996"/>
    <w:rsid w:val="4DCF1B20"/>
    <w:rsid w:val="4F3E0D9C"/>
    <w:rsid w:val="4FD505BA"/>
    <w:rsid w:val="51594082"/>
    <w:rsid w:val="52615DA0"/>
    <w:rsid w:val="551C71B7"/>
    <w:rsid w:val="55B54C00"/>
    <w:rsid w:val="55B74940"/>
    <w:rsid w:val="5669181D"/>
    <w:rsid w:val="58172340"/>
    <w:rsid w:val="592F59BC"/>
    <w:rsid w:val="59CC61D2"/>
    <w:rsid w:val="5A5469A9"/>
    <w:rsid w:val="5AF07FEB"/>
    <w:rsid w:val="5B585D48"/>
    <w:rsid w:val="5BD77301"/>
    <w:rsid w:val="5CC61994"/>
    <w:rsid w:val="5CCD49C1"/>
    <w:rsid w:val="5D064644"/>
    <w:rsid w:val="61A35111"/>
    <w:rsid w:val="61E41269"/>
    <w:rsid w:val="62DC2AF9"/>
    <w:rsid w:val="62FC5656"/>
    <w:rsid w:val="630A21F5"/>
    <w:rsid w:val="632446D7"/>
    <w:rsid w:val="64A0312D"/>
    <w:rsid w:val="64A65908"/>
    <w:rsid w:val="65395273"/>
    <w:rsid w:val="68290AAD"/>
    <w:rsid w:val="69807EDA"/>
    <w:rsid w:val="69E17513"/>
    <w:rsid w:val="6A3959B5"/>
    <w:rsid w:val="6AF7693D"/>
    <w:rsid w:val="6B155E1B"/>
    <w:rsid w:val="6F1C6087"/>
    <w:rsid w:val="71E33685"/>
    <w:rsid w:val="71E7767C"/>
    <w:rsid w:val="741B4D47"/>
    <w:rsid w:val="742F2185"/>
    <w:rsid w:val="74DA51A1"/>
    <w:rsid w:val="757C55A2"/>
    <w:rsid w:val="77C36872"/>
    <w:rsid w:val="78385CA2"/>
    <w:rsid w:val="79751E04"/>
    <w:rsid w:val="7A7660C6"/>
    <w:rsid w:val="7CC15036"/>
    <w:rsid w:val="7CF34424"/>
    <w:rsid w:val="7EAF1803"/>
    <w:rsid w:val="7F6604A0"/>
    <w:rsid w:val="FFF5F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unhideWhenUsed/>
    <w:qFormat/>
    <w:uiPriority w:val="0"/>
    <w:pPr>
      <w:keepNext/>
      <w:keepLines/>
      <w:spacing w:before="120" w:beforeLines="0" w:beforeAutospacing="0" w:after="120" w:afterLines="0" w:afterAutospacing="0" w:line="413" w:lineRule="auto"/>
      <w:outlineLvl w:val="2"/>
    </w:pPr>
    <w:rPr>
      <w:rFonts w:ascii="仿宋_GB2312" w:hAnsi="仿宋_GB2312" w:eastAsia="楷体"/>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111111"/>
      <w:kern w:val="0"/>
      <w:sz w:val="18"/>
      <w:szCs w:val="1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云南省人民政府</Company>
  <Pages>1</Pages>
  <Words>0</Words>
  <Characters>0</Characters>
  <Lines>0</Lines>
  <Paragraphs>0</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2023-02-20T09:28:00Z</dcterms:created>
  <dc:creator>wxr</dc:creator>
  <cp:lastModifiedBy>尘辰 </cp:lastModifiedBy>
  <cp:lastPrinted>2023-03-22T14:12:00Z</cp:lastPrinted>
  <dcterms:modified xsi:type="dcterms:W3CDTF">2023-03-30T03:31:21Z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